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78" w:rsidRDefault="008626AE">
      <w:pPr>
        <w:spacing w:before="113" w:after="113"/>
        <w:rPr>
          <w:rFonts w:ascii="Liberation Sans" w:hAnsi="Liberation Sans" w:hint="eastAsia"/>
          <w:sz w:val="26"/>
          <w:szCs w:val="26"/>
        </w:rPr>
      </w:pPr>
      <w:bookmarkStart w:id="0" w:name="_GoBack"/>
      <w:bookmarkEnd w:id="0"/>
      <w:r>
        <w:rPr>
          <w:rFonts w:ascii="Liberation Sans" w:hAnsi="Liberation Sans"/>
          <w:noProof/>
          <w:sz w:val="26"/>
          <w:szCs w:val="26"/>
          <w:lang w:eastAsia="es-ES"/>
        </w:rPr>
        <w:drawing>
          <wp:anchor distT="0" distB="0" distL="0" distR="3175" simplePos="0" relativeHeight="2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-264795</wp:posOffset>
            </wp:positionV>
            <wp:extent cx="911225" cy="1257300"/>
            <wp:effectExtent l="0" t="0" r="0" b="0"/>
            <wp:wrapSquare wrapText="largest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Sans" w:hAnsi="Liberation Sans"/>
          <w:noProof/>
          <w:sz w:val="26"/>
          <w:szCs w:val="26"/>
          <w:lang w:eastAsia="es-ES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4307205</wp:posOffset>
            </wp:positionH>
            <wp:positionV relativeFrom="paragraph">
              <wp:posOffset>-125095</wp:posOffset>
            </wp:positionV>
            <wp:extent cx="1435100" cy="1020445"/>
            <wp:effectExtent l="0" t="0" r="0" b="0"/>
            <wp:wrapSquare wrapText="largest"/>
            <wp:docPr id="2" name="Imag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7478" w:rsidRDefault="00487478">
      <w:pPr>
        <w:pStyle w:val="Textoindependiente"/>
        <w:spacing w:before="113" w:after="113"/>
        <w:jc w:val="both"/>
        <w:rPr>
          <w:rFonts w:ascii="Liberation Sans" w:hAnsi="Liberation Sans" w:hint="eastAsia"/>
          <w:sz w:val="26"/>
          <w:szCs w:val="26"/>
        </w:rPr>
      </w:pPr>
    </w:p>
    <w:p w:rsidR="00487478" w:rsidRDefault="00487478">
      <w:pPr>
        <w:pStyle w:val="Textoindependiente"/>
        <w:spacing w:before="113" w:after="113"/>
        <w:jc w:val="both"/>
        <w:rPr>
          <w:rFonts w:ascii="Liberation Sans" w:hAnsi="Liberation Sans" w:hint="eastAsia"/>
          <w:sz w:val="26"/>
          <w:szCs w:val="26"/>
        </w:rPr>
      </w:pPr>
    </w:p>
    <w:p w:rsidR="00487478" w:rsidRDefault="00487478">
      <w:pPr>
        <w:pStyle w:val="Textoindependiente"/>
        <w:spacing w:before="113" w:after="113"/>
        <w:jc w:val="both"/>
        <w:rPr>
          <w:rFonts w:ascii="Liberation Sans" w:hAnsi="Liberation Sans" w:hint="eastAsia"/>
          <w:sz w:val="26"/>
          <w:szCs w:val="26"/>
        </w:rPr>
      </w:pPr>
    </w:p>
    <w:p w:rsidR="00487478" w:rsidRDefault="008626AE">
      <w:pPr>
        <w:spacing w:before="142" w:after="142" w:line="276" w:lineRule="auto"/>
        <w:jc w:val="both"/>
        <w:rPr>
          <w:sz w:val="26"/>
          <w:szCs w:val="26"/>
        </w:rPr>
      </w:pPr>
      <w:r>
        <w:rPr>
          <w:rFonts w:ascii="Liberation Sans Narrow" w:hAnsi="Liberation Sans Narrow" w:cs="Arial"/>
          <w:b/>
          <w:color w:val="000000"/>
          <w:sz w:val="26"/>
          <w:szCs w:val="26"/>
        </w:rPr>
        <w:t xml:space="preserve">MOCIÓN QUE PRESENTA GONZALO ABAD MUÑOZ, CONCEJAL </w:t>
      </w:r>
      <w:r>
        <w:rPr>
          <w:rFonts w:ascii="Liberation Sans Narrow" w:hAnsi="Liberation Sans Narrow" w:cs="Arial"/>
          <w:b/>
          <w:color w:val="000000"/>
          <w:sz w:val="26"/>
          <w:szCs w:val="26"/>
        </w:rPr>
        <w:t>DEL GRUPO MUNICIPAL VOX CARTAGENA</w:t>
      </w:r>
      <w:r>
        <w:rPr>
          <w:rFonts w:ascii="Liberation Sans Narrow" w:hAnsi="Liberation Sans Narrow" w:cs="Arial"/>
          <w:b/>
          <w:color w:val="000000"/>
          <w:sz w:val="26"/>
          <w:szCs w:val="26"/>
        </w:rPr>
        <w:t>, SOBRE "</w:t>
      </w:r>
      <w:r>
        <w:rPr>
          <w:rFonts w:ascii="Liberation Sans Narrow" w:hAnsi="Liberation Sans Narrow" w:cs="Arial"/>
          <w:b/>
          <w:color w:val="000000"/>
          <w:sz w:val="26"/>
          <w:szCs w:val="26"/>
        </w:rPr>
        <w:t>MEJORA DE LA BONIFICACIÓN DEL I.B.I. A LAS FAMILIAS NUMEROSAS</w:t>
      </w:r>
      <w:r>
        <w:rPr>
          <w:rFonts w:ascii="Liberation Sans Narrow" w:hAnsi="Liberation Sans Narrow" w:cs="Arial"/>
          <w:b/>
          <w:bCs/>
          <w:color w:val="000000"/>
          <w:sz w:val="26"/>
          <w:szCs w:val="26"/>
        </w:rPr>
        <w:t>”</w:t>
      </w:r>
    </w:p>
    <w:p w:rsidR="00487478" w:rsidRDefault="008626AE">
      <w:pPr>
        <w:spacing w:before="313" w:after="313" w:line="276" w:lineRule="auto"/>
        <w:jc w:val="both"/>
        <w:rPr>
          <w:rFonts w:ascii="Liberation Sans Narrow" w:hAnsi="Liberation Sans Narrow" w:hint="eastAsia"/>
          <w:sz w:val="26"/>
          <w:szCs w:val="26"/>
        </w:rPr>
      </w:pPr>
      <w:r>
        <w:rPr>
          <w:rFonts w:ascii="Liberation Sans Narrow" w:hAnsi="Liberation Sans Narrow" w:cs="Arial"/>
          <w:b/>
          <w:bCs/>
          <w:sz w:val="26"/>
          <w:szCs w:val="26"/>
        </w:rPr>
        <w:t>EXPOSICIÓN DE MOTIVOS</w:t>
      </w:r>
    </w:p>
    <w:p w:rsidR="00487478" w:rsidRDefault="008626AE">
      <w:pPr>
        <w:spacing w:before="142" w:after="142" w:line="276" w:lineRule="auto"/>
        <w:jc w:val="both"/>
        <w:rPr>
          <w:rFonts w:ascii="Liberation Sans Narrow" w:hAnsi="Liberation Sans Narrow" w:hint="eastAsia"/>
          <w:sz w:val="26"/>
          <w:szCs w:val="26"/>
        </w:rPr>
      </w:pPr>
      <w:r>
        <w:rPr>
          <w:rFonts w:ascii="Liberation Sans Narrow" w:hAnsi="Liberation Sans Narrow"/>
          <w:sz w:val="26"/>
          <w:szCs w:val="26"/>
        </w:rPr>
        <w:t xml:space="preserve">El artículo 74 del Texto Refundido de la Ley Reguladora de las Haciendas </w:t>
      </w:r>
      <w:r>
        <w:rPr>
          <w:rFonts w:ascii="Liberation Sans Narrow" w:hAnsi="Liberation Sans Narrow"/>
          <w:sz w:val="26"/>
          <w:szCs w:val="26"/>
        </w:rPr>
        <w:t>Locales permite, entre otras bonificaciones, una de hasta el 90 por ciento de la cuota íntegra del impuesto a favor de los sujetos pasivos que ostenten la condición de titulares de familia numerosa.</w:t>
      </w:r>
    </w:p>
    <w:p w:rsidR="00487478" w:rsidRDefault="008626AE">
      <w:pPr>
        <w:spacing w:before="142" w:after="142" w:line="276" w:lineRule="auto"/>
        <w:jc w:val="both"/>
        <w:rPr>
          <w:rFonts w:ascii="Liberation Sans Narrow" w:hAnsi="Liberation Sans Narrow" w:hint="eastAsia"/>
          <w:sz w:val="26"/>
          <w:szCs w:val="26"/>
        </w:rPr>
      </w:pPr>
      <w:r>
        <w:rPr>
          <w:rFonts w:ascii="Liberation Sans Narrow" w:hAnsi="Liberation Sans Narrow"/>
          <w:sz w:val="26"/>
          <w:szCs w:val="26"/>
        </w:rPr>
        <w:t>La vigente Ordenanza fiscal de este Ayuntamiento contempl</w:t>
      </w:r>
      <w:r>
        <w:rPr>
          <w:rFonts w:ascii="Liberation Sans Narrow" w:hAnsi="Liberation Sans Narrow"/>
          <w:sz w:val="26"/>
          <w:szCs w:val="26"/>
        </w:rPr>
        <w:t>a esta bonificación, cuya cuantía se ha ido elevando en los últimos años, pero condicionada y limitada a una serie de supuestos.</w:t>
      </w:r>
    </w:p>
    <w:p w:rsidR="00487478" w:rsidRDefault="008626AE">
      <w:pPr>
        <w:spacing w:before="142" w:after="142" w:line="276" w:lineRule="auto"/>
        <w:jc w:val="both"/>
        <w:rPr>
          <w:rFonts w:ascii="Liberation Sans Narrow" w:hAnsi="Liberation Sans Narrow" w:hint="eastAsia"/>
          <w:sz w:val="26"/>
          <w:szCs w:val="26"/>
        </w:rPr>
      </w:pPr>
      <w:r>
        <w:rPr>
          <w:rFonts w:ascii="Liberation Sans Narrow" w:hAnsi="Liberation Sans Narrow"/>
          <w:sz w:val="26"/>
          <w:szCs w:val="26"/>
        </w:rPr>
        <w:t xml:space="preserve">En concreto, las bonificaciones previstas son del 30 %, del 60 % para las de categoría general según los ingresos brutos de la </w:t>
      </w:r>
      <w:r>
        <w:rPr>
          <w:rFonts w:ascii="Liberation Sans Narrow" w:hAnsi="Liberation Sans Narrow"/>
          <w:sz w:val="26"/>
          <w:szCs w:val="26"/>
        </w:rPr>
        <w:t>familia sean de más de 6 veces el IPREM o menores que este valor, y del 90 % para las de categoría especial.</w:t>
      </w:r>
    </w:p>
    <w:p w:rsidR="00487478" w:rsidRDefault="008626AE">
      <w:pPr>
        <w:spacing w:before="142" w:after="142" w:line="276" w:lineRule="auto"/>
        <w:jc w:val="both"/>
      </w:pPr>
      <w:r>
        <w:rPr>
          <w:rFonts w:ascii="Liberation Sans Narrow" w:hAnsi="Liberation Sans Narrow"/>
          <w:sz w:val="26"/>
          <w:szCs w:val="26"/>
        </w:rPr>
        <w:t xml:space="preserve">El IPREM (indicador público de renta de efectos múltiples) está actualmente en 6.948,24 € mensuales, por lo que el límite de 6 veces este valor es </w:t>
      </w:r>
      <w:r>
        <w:rPr>
          <w:rFonts w:ascii="Liberation Sans Narrow" w:hAnsi="Liberation Sans Narrow"/>
          <w:sz w:val="26"/>
          <w:szCs w:val="26"/>
        </w:rPr>
        <w:t>de 41.689,44</w:t>
      </w:r>
      <w:r>
        <w:rPr>
          <w:rFonts w:ascii="Liberation Sans Narrow" w:hAnsi="Liberation Sans Narrow"/>
          <w:sz w:val="26"/>
          <w:szCs w:val="26"/>
        </w:rPr>
        <w:t xml:space="preserve"> </w:t>
      </w:r>
      <w:r>
        <w:rPr>
          <w:rFonts w:ascii="Liberation Sans Narrow" w:hAnsi="Liberation Sans Narrow"/>
          <w:sz w:val="26"/>
          <w:szCs w:val="26"/>
        </w:rPr>
        <w:t>€ al año, que si se tiene en cuenta lo que cuesta mantener cada hijo en edad escolar, se antoja una cifra escasa para una familia numerosa.</w:t>
      </w:r>
    </w:p>
    <w:p w:rsidR="00487478" w:rsidRDefault="008626AE">
      <w:pPr>
        <w:spacing w:before="142" w:after="142" w:line="276" w:lineRule="auto"/>
        <w:jc w:val="both"/>
        <w:rPr>
          <w:rFonts w:ascii="Liberation Sans Narrow" w:hAnsi="Liberation Sans Narrow" w:hint="eastAsia"/>
          <w:sz w:val="26"/>
          <w:szCs w:val="26"/>
        </w:rPr>
      </w:pPr>
      <w:r>
        <w:rPr>
          <w:rFonts w:ascii="Liberation Sans Narrow" w:hAnsi="Liberation Sans Narrow"/>
          <w:sz w:val="26"/>
          <w:szCs w:val="26"/>
        </w:rPr>
        <w:t xml:space="preserve">Además existe otra condición, esta más difícil de cumplir por la mayoría de esas familias que viven en </w:t>
      </w:r>
      <w:r>
        <w:rPr>
          <w:rFonts w:ascii="Liberation Sans Narrow" w:hAnsi="Liberation Sans Narrow"/>
          <w:sz w:val="26"/>
          <w:szCs w:val="26"/>
        </w:rPr>
        <w:t>nuestra ciudad, como es que el valor catastral del inmueble no supere los 94.500 €, y este dato ya sí que no resulta razonable, pues difícilmente una familia numerosa cabe en viviendas que no superen este valor catastral, además de que la discriminación po</w:t>
      </w:r>
      <w:r>
        <w:rPr>
          <w:rFonts w:ascii="Liberation Sans Narrow" w:hAnsi="Liberation Sans Narrow"/>
          <w:sz w:val="26"/>
          <w:szCs w:val="26"/>
        </w:rPr>
        <w:t>r riqueza ya se establece adicionalmente por vía del IPREM.</w:t>
      </w:r>
    </w:p>
    <w:p w:rsidR="00487478" w:rsidRDefault="008626AE">
      <w:pPr>
        <w:spacing w:before="142" w:after="142" w:line="276" w:lineRule="auto"/>
        <w:jc w:val="both"/>
        <w:rPr>
          <w:rFonts w:ascii="Liberation Sans Narrow" w:hAnsi="Liberation Sans Narrow" w:hint="eastAsia"/>
          <w:sz w:val="26"/>
          <w:szCs w:val="26"/>
        </w:rPr>
      </w:pPr>
      <w:r>
        <w:rPr>
          <w:rFonts w:ascii="Liberation Sans Narrow" w:hAnsi="Liberation Sans Narrow"/>
          <w:sz w:val="26"/>
          <w:szCs w:val="26"/>
        </w:rPr>
        <w:t>Debido a esta segunda limitación, solamente se benefician de la bonificación del IBI un 39 % de las familias numerosas de categoría general y un 22,4 % de las de categoría especial.</w:t>
      </w:r>
    </w:p>
    <w:p w:rsidR="00487478" w:rsidRDefault="008626AE">
      <w:pPr>
        <w:spacing w:before="142" w:after="142" w:line="276" w:lineRule="auto"/>
        <w:jc w:val="both"/>
        <w:rPr>
          <w:rFonts w:ascii="Liberation Sans Narrow" w:hAnsi="Liberation Sans Narrow" w:hint="eastAsia"/>
          <w:sz w:val="26"/>
          <w:szCs w:val="26"/>
        </w:rPr>
      </w:pPr>
      <w:r>
        <w:rPr>
          <w:rFonts w:ascii="Liberation Sans Narrow" w:hAnsi="Liberation Sans Narrow"/>
          <w:sz w:val="26"/>
          <w:szCs w:val="26"/>
        </w:rPr>
        <w:t>Como dijo el a</w:t>
      </w:r>
      <w:r>
        <w:rPr>
          <w:rFonts w:ascii="Liberation Sans Narrow" w:hAnsi="Liberation Sans Narrow"/>
          <w:sz w:val="26"/>
          <w:szCs w:val="26"/>
        </w:rPr>
        <w:t xml:space="preserve">ño pasado la Sra. Alcaldesa, </w:t>
      </w:r>
      <w:r>
        <w:rPr>
          <w:rFonts w:ascii="Liberation Sans Narrow" w:hAnsi="Liberation Sans Narrow"/>
          <w:i/>
          <w:iCs/>
          <w:sz w:val="26"/>
          <w:szCs w:val="26"/>
        </w:rPr>
        <w:t>"no podemos olvidar que las familias numerosas compensan la bajísima natalidad y el envejecimiento de población que amenaza el mantenimiento del Estado del Bienestar".</w:t>
      </w:r>
    </w:p>
    <w:p w:rsidR="00487478" w:rsidRDefault="008626AE">
      <w:pPr>
        <w:spacing w:before="142" w:after="142" w:line="276" w:lineRule="auto"/>
        <w:jc w:val="both"/>
      </w:pPr>
      <w:r>
        <w:rPr>
          <w:rFonts w:ascii="Liberation Sans Narrow" w:hAnsi="Liberation Sans Narrow"/>
          <w:sz w:val="26"/>
          <w:szCs w:val="26"/>
        </w:rPr>
        <w:t>No se debería tratar de conseguir con estas políticas una m</w:t>
      </w:r>
      <w:r>
        <w:rPr>
          <w:rFonts w:ascii="Liberation Sans Narrow" w:hAnsi="Liberation Sans Narrow"/>
          <w:sz w:val="26"/>
          <w:szCs w:val="26"/>
        </w:rPr>
        <w:t>ayor redistribución de la renta, cosa que ya se hace y es el objetivo de otros impuestos como el IRPF, sino que se trata de ponérselo un poco menos difícil a los que más contribuyen al mantenimiento de ese Estado del Bienestar, independientemente de que vi</w:t>
      </w:r>
      <w:r>
        <w:rPr>
          <w:rFonts w:ascii="Liberation Sans Narrow" w:hAnsi="Liberation Sans Narrow"/>
          <w:sz w:val="26"/>
          <w:szCs w:val="26"/>
        </w:rPr>
        <w:t>van en una casa más o menos grande.</w:t>
      </w:r>
    </w:p>
    <w:p w:rsidR="00487478" w:rsidRDefault="008626AE">
      <w:pPr>
        <w:pStyle w:val="Textoindependiente"/>
        <w:spacing w:before="142" w:after="142"/>
        <w:jc w:val="both"/>
        <w:rPr>
          <w:rFonts w:ascii="Liberation Sans Narrow" w:hAnsi="Liberation Sans Narrow" w:hint="eastAsia"/>
          <w:sz w:val="26"/>
          <w:szCs w:val="26"/>
        </w:rPr>
      </w:pPr>
      <w:r>
        <w:rPr>
          <w:rFonts w:ascii="Liberation Sans Narrow" w:hAnsi="Liberation Sans Narrow"/>
          <w:sz w:val="26"/>
          <w:szCs w:val="26"/>
        </w:rPr>
        <w:t xml:space="preserve">La normativa básica de este impuesto dice que se puede bonificar a los titulares de familia numerosa, no de "familia numerosa por debajo de un determinado nivel de renta" y se supone </w:t>
      </w:r>
      <w:r>
        <w:rPr>
          <w:rFonts w:ascii="Liberation Sans Narrow" w:hAnsi="Liberation Sans Narrow"/>
          <w:sz w:val="26"/>
          <w:szCs w:val="26"/>
        </w:rPr>
        <w:lastRenderedPageBreak/>
        <w:t>que es una medida de política general</w:t>
      </w:r>
      <w:r>
        <w:rPr>
          <w:rFonts w:ascii="Liberation Sans Narrow" w:hAnsi="Liberation Sans Narrow"/>
          <w:sz w:val="26"/>
          <w:szCs w:val="26"/>
        </w:rPr>
        <w:t>, que los ayuntamientos pueden aplicar, dentro de los límites que establece la Ley y disponibilidades presupuestarias.</w:t>
      </w:r>
    </w:p>
    <w:p w:rsidR="00487478" w:rsidRDefault="008626AE">
      <w:pPr>
        <w:pStyle w:val="Textoindependiente"/>
        <w:spacing w:before="142" w:after="142"/>
        <w:jc w:val="both"/>
      </w:pPr>
      <w:r>
        <w:rPr>
          <w:rFonts w:ascii="Liberation Sans Narrow" w:hAnsi="Liberation Sans Narrow"/>
          <w:sz w:val="26"/>
          <w:szCs w:val="26"/>
        </w:rPr>
        <w:t xml:space="preserve">Por tanto, nuestra propuesta es eliminar el requisito de valor catastral máximo y subir las bonificaciones al 50  y 75 % (ahora del 30 y </w:t>
      </w:r>
      <w:r>
        <w:rPr>
          <w:rFonts w:ascii="Liberation Sans Narrow" w:hAnsi="Liberation Sans Narrow"/>
          <w:sz w:val="26"/>
          <w:szCs w:val="26"/>
        </w:rPr>
        <w:t>el 60 %), en base al anterior criterio de renta,  para las familias de categoría general.</w:t>
      </w:r>
    </w:p>
    <w:p w:rsidR="00487478" w:rsidRDefault="008626AE">
      <w:pPr>
        <w:pStyle w:val="Textoindependiente"/>
        <w:spacing w:before="142" w:after="142"/>
        <w:jc w:val="both"/>
      </w:pPr>
      <w:r>
        <w:rPr>
          <w:rFonts w:ascii="Liberation Sans Narrow" w:hAnsi="Liberation Sans Narrow"/>
          <w:sz w:val="26"/>
          <w:szCs w:val="26"/>
        </w:rPr>
        <w:t xml:space="preserve">Suponiendo una distribución similar a la actual en cuanto a los ingresos brutos, </w:t>
      </w:r>
      <w:r>
        <w:rPr>
          <w:rFonts w:ascii="Liberation Sans Narrow" w:hAnsi="Liberation Sans Narrow"/>
          <w:sz w:val="26"/>
          <w:szCs w:val="26"/>
        </w:rPr>
        <w:t>modificando</w:t>
      </w:r>
      <w:r>
        <w:rPr>
          <w:rFonts w:ascii="Liberation Sans Narrow" w:hAnsi="Liberation Sans Narrow"/>
          <w:sz w:val="26"/>
          <w:szCs w:val="26"/>
        </w:rPr>
        <w:t xml:space="preserve"> el requisito de valor catastral máximo, y suponiendo que la media de los </w:t>
      </w:r>
      <w:r>
        <w:rPr>
          <w:rFonts w:ascii="Liberation Sans Narrow" w:hAnsi="Liberation Sans Narrow"/>
          <w:sz w:val="26"/>
          <w:szCs w:val="26"/>
        </w:rPr>
        <w:t xml:space="preserve">valores catastrales de los beneficiarios fueran un 50 % superiores a </w:t>
      </w:r>
      <w:r>
        <w:rPr>
          <w:rFonts w:ascii="Liberation Sans Narrow" w:hAnsi="Liberation Sans Narrow"/>
          <w:sz w:val="26"/>
          <w:szCs w:val="26"/>
        </w:rPr>
        <w:t>la media actual</w:t>
      </w:r>
      <w:r>
        <w:rPr>
          <w:rFonts w:ascii="Liberation Sans Narrow" w:hAnsi="Liberation Sans Narrow"/>
          <w:sz w:val="26"/>
          <w:szCs w:val="26"/>
        </w:rPr>
        <w:t xml:space="preserve">, el ahorro </w:t>
      </w:r>
      <w:r>
        <w:rPr>
          <w:rFonts w:ascii="Liberation Sans Narrow" w:hAnsi="Liberation Sans Narrow"/>
          <w:sz w:val="26"/>
          <w:szCs w:val="26"/>
        </w:rPr>
        <w:t>medio</w:t>
      </w:r>
      <w:r>
        <w:rPr>
          <w:rFonts w:ascii="Liberation Sans Narrow" w:hAnsi="Liberation Sans Narrow"/>
          <w:sz w:val="26"/>
          <w:szCs w:val="26"/>
        </w:rPr>
        <w:t xml:space="preserve"> para estas familias sería </w:t>
      </w:r>
      <w:r>
        <w:rPr>
          <w:rFonts w:ascii="Liberation Sans Narrow" w:hAnsi="Liberation Sans Narrow"/>
          <w:sz w:val="26"/>
          <w:szCs w:val="26"/>
        </w:rPr>
        <w:t>de unos 310</w:t>
      </w:r>
      <w:r>
        <w:rPr>
          <w:rFonts w:ascii="Liberation Sans Narrow" w:hAnsi="Liberation Sans Narrow"/>
          <w:sz w:val="26"/>
          <w:szCs w:val="26"/>
        </w:rPr>
        <w:t xml:space="preserve"> euros, y la ayuda llegaría a todas las familias numerosas de Cartagena.</w:t>
      </w:r>
    </w:p>
    <w:p w:rsidR="00487478" w:rsidRDefault="008626AE">
      <w:pPr>
        <w:pStyle w:val="Textoindependiente"/>
        <w:spacing w:before="142" w:after="142"/>
        <w:jc w:val="both"/>
        <w:rPr>
          <w:rFonts w:ascii="Liberation Sans Narrow" w:hAnsi="Liberation Sans Narrow" w:hint="eastAsia"/>
          <w:sz w:val="26"/>
          <w:szCs w:val="26"/>
        </w:rPr>
      </w:pPr>
      <w:r>
        <w:rPr>
          <w:rFonts w:ascii="Liberation Sans Narrow" w:hAnsi="Liberation Sans Narrow"/>
          <w:sz w:val="26"/>
          <w:szCs w:val="26"/>
        </w:rPr>
        <w:t>Consideramos que esta es una cifra que el Ay</w:t>
      </w:r>
      <w:r>
        <w:rPr>
          <w:rFonts w:ascii="Liberation Sans Narrow" w:hAnsi="Liberation Sans Narrow"/>
          <w:sz w:val="26"/>
          <w:szCs w:val="26"/>
        </w:rPr>
        <w:t xml:space="preserve">untamiento puede asumir en sus presupuestos, dados </w:t>
      </w:r>
      <w:r>
        <w:rPr>
          <w:rFonts w:ascii="Liberation Sans Narrow" w:hAnsi="Liberation Sans Narrow"/>
          <w:sz w:val="26"/>
          <w:szCs w:val="26"/>
        </w:rPr>
        <w:t>los superávits que viene teniendo en los últimos años, y teniendo en cuenta que estas familias son las que más aportan a la actividad económica general y al resto de los impuestos, además de que como ya se</w:t>
      </w:r>
      <w:r>
        <w:rPr>
          <w:rFonts w:ascii="Liberation Sans Narrow" w:hAnsi="Liberation Sans Narrow"/>
          <w:sz w:val="26"/>
          <w:szCs w:val="26"/>
        </w:rPr>
        <w:t xml:space="preserve"> ha dicho, contribuyen a la mejora de la natalidad y </w:t>
      </w:r>
      <w:r>
        <w:rPr>
          <w:rFonts w:ascii="Liberation Sans Narrow" w:hAnsi="Liberation Sans Narrow"/>
          <w:sz w:val="26"/>
          <w:szCs w:val="26"/>
        </w:rPr>
        <w:t>contra el envejecimiento de la población, ayudando a mantener el sistema de pensiones.</w:t>
      </w:r>
    </w:p>
    <w:p w:rsidR="00487478" w:rsidRDefault="008626AE">
      <w:pPr>
        <w:spacing w:before="142" w:after="142" w:line="276" w:lineRule="auto"/>
        <w:jc w:val="both"/>
        <w:rPr>
          <w:rFonts w:ascii="Liberation Sans Narrow" w:hAnsi="Liberation Sans Narrow" w:hint="eastAsia"/>
          <w:sz w:val="26"/>
          <w:szCs w:val="26"/>
        </w:rPr>
      </w:pPr>
      <w:r>
        <w:rPr>
          <w:rFonts w:ascii="Liberation Sans Narrow" w:hAnsi="Liberation Sans Narrow" w:cs="Arial"/>
          <w:sz w:val="26"/>
          <w:szCs w:val="26"/>
        </w:rPr>
        <w:t>Por lo anteriormente expuesto, el concejal que suscribe presenta para su debate y aprobación en su caso la siguiente</w:t>
      </w:r>
    </w:p>
    <w:p w:rsidR="00487478" w:rsidRDefault="008626AE">
      <w:pPr>
        <w:spacing w:before="256" w:after="256" w:line="276" w:lineRule="auto"/>
        <w:jc w:val="center"/>
        <w:rPr>
          <w:rFonts w:ascii="Liberation Sans Narrow" w:hAnsi="Liberation Sans Narrow" w:hint="eastAsia"/>
          <w:sz w:val="26"/>
          <w:szCs w:val="26"/>
        </w:rPr>
      </w:pPr>
      <w:r>
        <w:rPr>
          <w:rFonts w:ascii="Liberation Sans Narrow" w:hAnsi="Liberation Sans Narrow"/>
          <w:b/>
          <w:bCs/>
          <w:sz w:val="26"/>
          <w:szCs w:val="26"/>
        </w:rPr>
        <w:t>MOCIÓN</w:t>
      </w:r>
    </w:p>
    <w:p w:rsidR="00487478" w:rsidRDefault="00487478">
      <w:pPr>
        <w:spacing w:before="142" w:after="142" w:line="276" w:lineRule="auto"/>
        <w:jc w:val="both"/>
        <w:rPr>
          <w:rFonts w:ascii="Liberation Sans Narrow" w:hAnsi="Liberation Sans Narrow" w:hint="eastAsia"/>
          <w:b/>
          <w:bCs/>
          <w:sz w:val="26"/>
          <w:szCs w:val="26"/>
        </w:rPr>
      </w:pPr>
    </w:p>
    <w:p w:rsidR="00487478" w:rsidRDefault="008626AE">
      <w:pPr>
        <w:spacing w:before="142" w:after="142" w:line="276" w:lineRule="auto"/>
        <w:jc w:val="both"/>
      </w:pPr>
      <w:r>
        <w:rPr>
          <w:rFonts w:ascii="Liberation Sans Narrow" w:hAnsi="Liberation Sans Narrow"/>
          <w:b/>
          <w:bCs/>
          <w:sz w:val="26"/>
          <w:szCs w:val="26"/>
        </w:rPr>
        <w:t>1. Que en la Ordenanza fiscal para el año 2023 se elimine el requisito de valor catastral máximo para las bonificaciones del IBI a los titulares de familias numerosas.</w:t>
      </w:r>
    </w:p>
    <w:p w:rsidR="00487478" w:rsidRDefault="008626AE">
      <w:pPr>
        <w:spacing w:before="142" w:after="142" w:line="276" w:lineRule="auto"/>
        <w:jc w:val="both"/>
        <w:rPr>
          <w:rFonts w:ascii="Liberation Sans Narrow" w:hAnsi="Liberation Sans Narrow" w:hint="eastAsia"/>
          <w:sz w:val="26"/>
          <w:szCs w:val="26"/>
        </w:rPr>
      </w:pPr>
      <w:r>
        <w:rPr>
          <w:rFonts w:ascii="Liberation Sans Narrow" w:hAnsi="Liberation Sans Narrow"/>
          <w:b/>
          <w:bCs/>
          <w:sz w:val="26"/>
          <w:szCs w:val="26"/>
        </w:rPr>
        <w:t>2. Que dichas</w:t>
      </w:r>
      <w:r>
        <w:rPr>
          <w:rFonts w:ascii="Liberation Sans Narrow" w:hAnsi="Liberation Sans Narrow"/>
          <w:b/>
          <w:bCs/>
          <w:sz w:val="26"/>
          <w:szCs w:val="26"/>
        </w:rPr>
        <w:t xml:space="preserve"> bonificaciones se eleven para las familias numerosas de categoría general al 50% en el caso de ingresos brutos familiares mayores de 6 veces el IPREM y al 75% para el caso de ingresos brutos menores de esa cifra, manteniéndose el 90% para las de categoría</w:t>
      </w:r>
      <w:r>
        <w:rPr>
          <w:rFonts w:ascii="Liberation Sans Narrow" w:hAnsi="Liberation Sans Narrow"/>
          <w:b/>
          <w:bCs/>
          <w:sz w:val="26"/>
          <w:szCs w:val="26"/>
        </w:rPr>
        <w:t xml:space="preserve"> especial.</w:t>
      </w:r>
    </w:p>
    <w:p w:rsidR="00487478" w:rsidRDefault="00487478">
      <w:pPr>
        <w:spacing w:before="142" w:after="142" w:line="276" w:lineRule="auto"/>
        <w:jc w:val="both"/>
        <w:rPr>
          <w:b/>
          <w:bCs/>
        </w:rPr>
      </w:pPr>
    </w:p>
    <w:tbl>
      <w:tblPr>
        <w:tblW w:w="9075" w:type="dxa"/>
        <w:tblInd w:w="97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59"/>
        <w:gridCol w:w="116"/>
      </w:tblGrid>
      <w:tr w:rsidR="00487478">
        <w:tc>
          <w:tcPr>
            <w:tcW w:w="9016" w:type="dxa"/>
            <w:shd w:val="clear" w:color="auto" w:fill="auto"/>
          </w:tcPr>
          <w:p w:rsidR="00487478" w:rsidRDefault="008626AE">
            <w:pPr>
              <w:spacing w:before="113" w:after="113"/>
              <w:jc w:val="center"/>
              <w:rPr>
                <w:rFonts w:ascii="Liberation Sans Narrow" w:hAnsi="Liberation Sans Narrow" w:hint="eastAsia"/>
              </w:rPr>
            </w:pPr>
            <w:r>
              <w:rPr>
                <w:rFonts w:ascii="Liberation Sans Narrow" w:hAnsi="Liberation Sans Narrow" w:cs="Arial"/>
                <w:sz w:val="26"/>
                <w:szCs w:val="26"/>
              </w:rPr>
              <w:t>Cartagena, 26 de septiembre</w:t>
            </w:r>
            <w:r>
              <w:rPr>
                <w:rFonts w:ascii="Liberation Sans Narrow" w:hAnsi="Liberation Sans Narrow" w:cs="Arial"/>
                <w:sz w:val="26"/>
                <w:szCs w:val="26"/>
              </w:rPr>
              <w:t xml:space="preserve"> </w:t>
            </w:r>
            <w:r>
              <w:rPr>
                <w:rFonts w:ascii="Liberation Sans Narrow" w:hAnsi="Liberation Sans Narrow" w:cs="Arial"/>
                <w:sz w:val="26"/>
                <w:szCs w:val="26"/>
              </w:rPr>
              <w:t>de 2022</w:t>
            </w:r>
          </w:p>
          <w:p w:rsidR="00487478" w:rsidRDefault="00487478">
            <w:pPr>
              <w:pStyle w:val="Contenidodelatabla"/>
              <w:spacing w:before="113" w:after="113"/>
              <w:rPr>
                <w:rFonts w:ascii="Liberation Sans Narrow" w:hAnsi="Liberation Sans Narrow" w:hint="eastAsia"/>
                <w:sz w:val="26"/>
                <w:szCs w:val="26"/>
              </w:rPr>
            </w:pPr>
          </w:p>
          <w:p w:rsidR="00487478" w:rsidRDefault="00487478">
            <w:pPr>
              <w:pStyle w:val="Contenidodelatabla"/>
              <w:spacing w:before="113" w:after="113"/>
              <w:rPr>
                <w:rFonts w:ascii="Liberation Sans Narrow" w:hAnsi="Liberation Sans Narrow" w:hint="eastAsia"/>
                <w:sz w:val="26"/>
                <w:szCs w:val="26"/>
              </w:rPr>
            </w:pPr>
          </w:p>
          <w:p w:rsidR="00487478" w:rsidRDefault="008626AE">
            <w:pPr>
              <w:pStyle w:val="Contenidodelatabla"/>
              <w:spacing w:before="113" w:after="113"/>
              <w:jc w:val="center"/>
              <w:rPr>
                <w:rFonts w:ascii="Liberation Sans Narrow" w:hAnsi="Liberation Sans Narrow" w:hint="eastAsia"/>
              </w:rPr>
            </w:pPr>
            <w:r>
              <w:rPr>
                <w:rFonts w:ascii="Liberation Sans Narrow" w:hAnsi="Liberation Sans Narrow"/>
                <w:sz w:val="26"/>
                <w:szCs w:val="26"/>
              </w:rPr>
              <w:t>Fdo: Gonzalo Abad Muñoz</w:t>
            </w:r>
          </w:p>
        </w:tc>
        <w:tc>
          <w:tcPr>
            <w:tcW w:w="58" w:type="dxa"/>
            <w:shd w:val="clear" w:color="auto" w:fill="auto"/>
          </w:tcPr>
          <w:p w:rsidR="00487478" w:rsidRDefault="00487478">
            <w:pPr>
              <w:pStyle w:val="Contenidodelatabla"/>
              <w:spacing w:before="113" w:after="113"/>
              <w:rPr>
                <w:rFonts w:ascii="Liberation Sans Narrow" w:hAnsi="Liberation Sans Narrow" w:hint="eastAsia"/>
                <w:sz w:val="26"/>
                <w:szCs w:val="26"/>
              </w:rPr>
            </w:pPr>
          </w:p>
        </w:tc>
      </w:tr>
    </w:tbl>
    <w:p w:rsidR="00487478" w:rsidRDefault="008626AE">
      <w:pPr>
        <w:pStyle w:val="Textoindependiente"/>
        <w:spacing w:before="113" w:after="113"/>
        <w:jc w:val="center"/>
        <w:rPr>
          <w:rFonts w:ascii="Liberation Sans Narrow" w:hAnsi="Liberation Sans Narrow" w:hint="eastAsia"/>
        </w:rPr>
      </w:pPr>
      <w:r>
        <w:rPr>
          <w:rFonts w:ascii="Liberation Sans Narrow" w:hAnsi="Liberation Sans Narrow"/>
          <w:b/>
          <w:bCs/>
          <w:color w:val="000000"/>
          <w:sz w:val="26"/>
          <w:szCs w:val="26"/>
        </w:rPr>
        <w:t>A LA ALCALDÍA – PRESIDENCIA DEL EXCMO. AYUNTAMIENTO DE CARTAGENA</w:t>
      </w:r>
    </w:p>
    <w:sectPr w:rsidR="00487478">
      <w:footerReference w:type="default" r:id="rId9"/>
      <w:pgSz w:w="11906" w:h="16838"/>
      <w:pgMar w:top="1191" w:right="1417" w:bottom="1755" w:left="1417" w:header="0" w:footer="119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626AE">
      <w:r>
        <w:separator/>
      </w:r>
    </w:p>
  </w:endnote>
  <w:endnote w:type="continuationSeparator" w:id="0">
    <w:p w:rsidR="00000000" w:rsidRDefault="0086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1"/>
    <w:family w:val="swiss"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478" w:rsidRDefault="008626AE">
    <w:pPr>
      <w:pStyle w:val="Piedepgina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626AE">
      <w:r>
        <w:separator/>
      </w:r>
    </w:p>
  </w:footnote>
  <w:footnote w:type="continuationSeparator" w:id="0">
    <w:p w:rsidR="00000000" w:rsidRDefault="00862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478"/>
    <w:rsid w:val="00487478"/>
    <w:rsid w:val="0086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ans" w:eastAsia="Noto Sans CJK SC" w:hAnsi="Liberation Sans" w:cs="Lohit Devanagari"/>
        <w:kern w:val="2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eastAsia="MS Mincho" w:hAnsi="Cambria" w:cs="Tahoma"/>
      <w:kern w:val="0"/>
      <w:sz w:val="24"/>
      <w:lang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BalloonTextChar">
    <w:name w:val="Balloon Text Char"/>
    <w:basedOn w:val="Fuentedeprrafopredeter"/>
    <w:qFormat/>
    <w:rPr>
      <w:rFonts w:ascii="Lucida Grande" w:hAnsi="Lucida Grande" w:cs="Lucida Grande"/>
      <w:sz w:val="18"/>
      <w:szCs w:val="18"/>
    </w:rPr>
  </w:style>
  <w:style w:type="character" w:customStyle="1" w:styleId="Smbolosdenumeracin">
    <w:name w:val="Símbolos de numeración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Muydestacado">
    <w:name w:val="Muy destacado"/>
    <w:qFormat/>
    <w:rPr>
      <w:b/>
      <w:bCs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globo">
    <w:name w:val="Balloon Text"/>
    <w:basedOn w:val="Normal"/>
    <w:qFormat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cs="Times New Roman"/>
      <w:sz w:val="20"/>
      <w:szCs w:val="20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0"/>
      <w:sz w:val="24"/>
      <w:lang w:eastAsia="en-US" w:bidi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Cabeceraypie">
    <w:name w:val="Cabecera y pie"/>
    <w:basedOn w:val="Normal"/>
    <w:qFormat/>
  </w:style>
  <w:style w:type="paragraph" w:styleId="Piedepgina">
    <w:name w:val="footer"/>
    <w:basedOn w:val="Normal"/>
    <w:pPr>
      <w:suppressLineNumbers/>
      <w:tabs>
        <w:tab w:val="center" w:pos="4153"/>
        <w:tab w:val="right" w:pos="8306"/>
      </w:tabs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ans" w:eastAsia="Noto Sans CJK SC" w:hAnsi="Liberation Sans" w:cs="Lohit Devanagari"/>
        <w:kern w:val="2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eastAsia="MS Mincho" w:hAnsi="Cambria" w:cs="Tahoma"/>
      <w:kern w:val="0"/>
      <w:sz w:val="24"/>
      <w:lang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BalloonTextChar">
    <w:name w:val="Balloon Text Char"/>
    <w:basedOn w:val="Fuentedeprrafopredeter"/>
    <w:qFormat/>
    <w:rPr>
      <w:rFonts w:ascii="Lucida Grande" w:hAnsi="Lucida Grande" w:cs="Lucida Grande"/>
      <w:sz w:val="18"/>
      <w:szCs w:val="18"/>
    </w:rPr>
  </w:style>
  <w:style w:type="character" w:customStyle="1" w:styleId="Smbolosdenumeracin">
    <w:name w:val="Símbolos de numeración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Muydestacado">
    <w:name w:val="Muy destacado"/>
    <w:qFormat/>
    <w:rPr>
      <w:b/>
      <w:bCs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globo">
    <w:name w:val="Balloon Text"/>
    <w:basedOn w:val="Normal"/>
    <w:qFormat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cs="Times New Roman"/>
      <w:sz w:val="20"/>
      <w:szCs w:val="20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0"/>
      <w:sz w:val="24"/>
      <w:lang w:eastAsia="en-US" w:bidi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Cabeceraypie">
    <w:name w:val="Cabecera y pie"/>
    <w:basedOn w:val="Normal"/>
    <w:qFormat/>
  </w:style>
  <w:style w:type="paragraph" w:styleId="Piedepgina">
    <w:name w:val="footer"/>
    <w:basedOn w:val="Normal"/>
    <w:pPr>
      <w:suppressLineNumbers/>
      <w:tabs>
        <w:tab w:val="center" w:pos="4153"/>
        <w:tab w:val="right" w:pos="8306"/>
      </w:tabs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perez-solero garcia-carreño</dc:creator>
  <cp:lastModifiedBy>CRISTINA MORENO ENCABO</cp:lastModifiedBy>
  <cp:revision>2</cp:revision>
  <cp:lastPrinted>2021-05-21T20:12:00Z</cp:lastPrinted>
  <dcterms:created xsi:type="dcterms:W3CDTF">2023-03-14T09:00:00Z</dcterms:created>
  <dcterms:modified xsi:type="dcterms:W3CDTF">2023-03-14T09:00:00Z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