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9B" w:rsidRDefault="005A3D47">
      <w:pPr>
        <w:spacing w:before="113" w:after="113"/>
        <w:rPr>
          <w:rFonts w:ascii="Liberation Sans" w:hAnsi="Liberation Sans" w:hint="eastAsia"/>
          <w:sz w:val="26"/>
          <w:szCs w:val="26"/>
        </w:rPr>
      </w:pPr>
      <w:bookmarkStart w:id="0" w:name="_GoBack"/>
      <w:bookmarkEnd w:id="0"/>
      <w:r>
        <w:rPr>
          <w:rFonts w:ascii="Liberation Sans" w:hAnsi="Liberation Sans"/>
          <w:noProof/>
          <w:sz w:val="26"/>
          <w:szCs w:val="26"/>
          <w:lang w:eastAsia="es-ES"/>
        </w:rPr>
        <w:drawing>
          <wp:anchor distT="0" distB="0" distL="0" distR="3175" simplePos="0" relativeHeight="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-264795</wp:posOffset>
            </wp:positionV>
            <wp:extent cx="911225" cy="1257300"/>
            <wp:effectExtent l="0" t="0" r="0" b="0"/>
            <wp:wrapSquare wrapText="larges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ans" w:hAnsi="Liberation Sans"/>
          <w:noProof/>
          <w:sz w:val="26"/>
          <w:szCs w:val="26"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4307205</wp:posOffset>
            </wp:positionH>
            <wp:positionV relativeFrom="paragraph">
              <wp:posOffset>-125095</wp:posOffset>
            </wp:positionV>
            <wp:extent cx="1435100" cy="1020445"/>
            <wp:effectExtent l="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09B" w:rsidRDefault="0099609B">
      <w:pPr>
        <w:pStyle w:val="Textoindependiente"/>
        <w:spacing w:before="113" w:after="113"/>
        <w:jc w:val="both"/>
        <w:rPr>
          <w:rFonts w:ascii="Liberation Sans" w:hAnsi="Liberation Sans" w:hint="eastAsia"/>
          <w:sz w:val="26"/>
          <w:szCs w:val="26"/>
        </w:rPr>
      </w:pPr>
    </w:p>
    <w:p w:rsidR="0099609B" w:rsidRDefault="0099609B">
      <w:pPr>
        <w:pStyle w:val="Textoindependiente"/>
        <w:spacing w:before="113" w:after="113"/>
        <w:jc w:val="both"/>
        <w:rPr>
          <w:rFonts w:ascii="Liberation Sans" w:hAnsi="Liberation Sans" w:hint="eastAsia"/>
          <w:sz w:val="26"/>
          <w:szCs w:val="26"/>
        </w:rPr>
      </w:pPr>
    </w:p>
    <w:p w:rsidR="0099609B" w:rsidRDefault="0099609B">
      <w:pPr>
        <w:pStyle w:val="Textoindependiente"/>
        <w:spacing w:before="113" w:after="113"/>
        <w:jc w:val="both"/>
        <w:rPr>
          <w:rFonts w:ascii="Liberation Sans" w:hAnsi="Liberation Sans" w:hint="eastAsia"/>
          <w:sz w:val="26"/>
          <w:szCs w:val="26"/>
        </w:rPr>
      </w:pPr>
    </w:p>
    <w:p w:rsidR="0099609B" w:rsidRDefault="0099609B">
      <w:pPr>
        <w:spacing w:before="142" w:after="142" w:line="276" w:lineRule="auto"/>
        <w:jc w:val="both"/>
        <w:rPr>
          <w:sz w:val="26"/>
          <w:szCs w:val="26"/>
        </w:rPr>
      </w:pPr>
    </w:p>
    <w:p w:rsidR="0099609B" w:rsidRDefault="005A3D47">
      <w:pPr>
        <w:spacing w:before="142" w:after="142" w:line="276" w:lineRule="auto"/>
        <w:jc w:val="both"/>
        <w:rPr>
          <w:rFonts w:ascii="Liberation Sans Narrow" w:hAnsi="Liberation Sans Narrow" w:hint="eastAsia"/>
        </w:rPr>
      </w:pPr>
      <w:r>
        <w:rPr>
          <w:rFonts w:ascii="Liberation Sans Narrow" w:hAnsi="Liberation Sans Narrow" w:cs="Arial"/>
          <w:b/>
          <w:color w:val="000000"/>
          <w:sz w:val="26"/>
          <w:szCs w:val="26"/>
        </w:rPr>
        <w:t xml:space="preserve">MOCIÓN QUE PRESENTA GONZALO ABAD MUÑOZ, CONCEJAL </w:t>
      </w:r>
      <w:r>
        <w:rPr>
          <w:rFonts w:ascii="Liberation Sans Narrow" w:hAnsi="Liberation Sans Narrow" w:cs="Arial"/>
          <w:b/>
          <w:color w:val="000000"/>
          <w:sz w:val="26"/>
          <w:szCs w:val="26"/>
        </w:rPr>
        <w:t>DEL GRUPO MUNICIPAL VOX CARTAGENA</w:t>
      </w:r>
      <w:r>
        <w:rPr>
          <w:rFonts w:ascii="Liberation Sans Narrow" w:hAnsi="Liberation Sans Narrow" w:cs="Arial"/>
          <w:b/>
          <w:color w:val="000000"/>
          <w:sz w:val="26"/>
          <w:szCs w:val="26"/>
        </w:rPr>
        <w:t>, SOBRE "</w:t>
      </w:r>
      <w:r>
        <w:rPr>
          <w:rFonts w:ascii="Arial" w:hAnsi="Arial" w:cs="Arial"/>
          <w:b/>
          <w:bCs/>
          <w:color w:val="000000"/>
        </w:rPr>
        <w:t>RECAUDACIÓN DE LA TASA DE BASURAS POR HIDROGEA</w:t>
      </w:r>
      <w:r>
        <w:rPr>
          <w:rFonts w:ascii="Liberation Sans Narrow" w:hAnsi="Liberation Sans Narrow" w:cs="Arial"/>
          <w:b/>
          <w:bCs/>
          <w:color w:val="000000"/>
          <w:sz w:val="26"/>
          <w:szCs w:val="26"/>
        </w:rPr>
        <w:t>”</w:t>
      </w:r>
    </w:p>
    <w:p w:rsidR="0099609B" w:rsidRDefault="005A3D47">
      <w:pPr>
        <w:spacing w:before="313" w:after="313" w:line="276" w:lineRule="auto"/>
        <w:jc w:val="both"/>
        <w:rPr>
          <w:rFonts w:ascii="Liberation Sans Narrow" w:hAnsi="Liberation Sans Narrow" w:hint="eastAsia"/>
        </w:rPr>
      </w:pPr>
      <w:r>
        <w:rPr>
          <w:rFonts w:ascii="Liberation Sans Narrow" w:hAnsi="Liberation Sans Narrow" w:cs="Arial"/>
          <w:b/>
          <w:bCs/>
          <w:sz w:val="26"/>
          <w:szCs w:val="26"/>
        </w:rPr>
        <w:t>EXPOSICIÓN DE MOTIVOS</w:t>
      </w:r>
    </w:p>
    <w:p w:rsidR="0099609B" w:rsidRDefault="005A3D47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Actualmente, el concesionario del servicio de agua potable, Hidrogea,</w:t>
      </w:r>
      <w:r>
        <w:rPr>
          <w:rFonts w:ascii="Liberation Sans Narrow" w:hAnsi="Liberation Sans Narrow"/>
          <w:sz w:val="26"/>
          <w:szCs w:val="26"/>
        </w:rPr>
        <w:t xml:space="preserve"> realiza la recaudación de la tasa de basuras incluyéndola en el recibo del agua, por la que percibe el 4% de los ingresos en concepto de "premio de cobranza". En las listas cobratorias se deben reflejar todas las facturas realizadas por número de contrato</w:t>
      </w:r>
      <w:r>
        <w:rPr>
          <w:rFonts w:ascii="Liberation Sans Narrow" w:hAnsi="Liberation Sans Narrow"/>
          <w:sz w:val="26"/>
          <w:szCs w:val="26"/>
        </w:rPr>
        <w:t>, con la tarifa aplicada según el epígrafe que corresponda.</w:t>
      </w:r>
    </w:p>
    <w:p w:rsidR="0099609B" w:rsidRDefault="005A3D47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El pasado día 8 de junio de 2022, ASEPUCAR (Asociación de Afectados por los Servicios Públicos de Cartagena) informó a la Concejal de Hacienda de las irregularidades detectadas en la recaudación d</w:t>
      </w:r>
      <w:r>
        <w:rPr>
          <w:rFonts w:ascii="Liberation Sans Narrow" w:hAnsi="Liberation Sans Narrow"/>
          <w:sz w:val="26"/>
          <w:szCs w:val="26"/>
        </w:rPr>
        <w:t>e la tasa de basuras entre 2015 y 2017. Entre estos años, dejan de facturarse sin haber sido bajas, 11.772 contratos de agua, lo que representa el 11,3% de los contratos facturados en el último periodo de 2017. Como la mayor parte de estos contratos incluy</w:t>
      </w:r>
      <w:r>
        <w:rPr>
          <w:rFonts w:ascii="Liberation Sans Narrow" w:hAnsi="Liberation Sans Narrow"/>
          <w:sz w:val="26"/>
          <w:szCs w:val="26"/>
        </w:rPr>
        <w:t>e la facturación de basuras, la recaudación de basuras también deja de facturarse, disminuyendo los ingresos para la Hacienda municipal.</w:t>
      </w:r>
    </w:p>
    <w:p w:rsidR="0099609B" w:rsidRDefault="005A3D47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Como se trata de cuotas fijas, que evolucionan con el número de usuarios y estos van aumentando cada año, la recaudació</w:t>
      </w:r>
      <w:r>
        <w:rPr>
          <w:rFonts w:ascii="Liberation Sans Narrow" w:hAnsi="Liberation Sans Narrow"/>
          <w:sz w:val="26"/>
          <w:szCs w:val="26"/>
        </w:rPr>
        <w:t>n también debería aumentar de forma proporcional.</w:t>
      </w:r>
    </w:p>
    <w:p w:rsidR="0099609B" w:rsidRDefault="005A3D47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En la liquidación de 2018-2021, primer bimestre, ASEPUCAR comparó la recaudación del agua en el último bimestre de 2017: 1.514.064 € y en el 2021: 1.534.437 €. El aumento de 20.373 €, divididos por el impor</w:t>
      </w:r>
      <w:r>
        <w:rPr>
          <w:rFonts w:ascii="Liberation Sans Narrow" w:hAnsi="Liberation Sans Narrow"/>
          <w:sz w:val="26"/>
          <w:szCs w:val="26"/>
        </w:rPr>
        <w:t xml:space="preserve">te medio de 16,53 €/bimestre, supone un aumento aproximado de 1.233 facturas, mientras que el aumento de contratos fue de 2.783. Por tanto, se dejó de reflejar en la facturación un 55,7% de las nuevas altas. </w:t>
      </w:r>
    </w:p>
    <w:p w:rsidR="0099609B" w:rsidRDefault="005A3D47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De esta forma se comprueba que aparte de los contratos que se dejan de contabilizar entre 2015 y 2017, el aumento desde 2018 tampoco se ha reflejado en un aumento equivalente en la recaudación de basuras.</w:t>
      </w:r>
    </w:p>
    <w:p w:rsidR="0099609B" w:rsidRDefault="005A3D47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Estas supuestas infracciones se pueden comprobar co</w:t>
      </w:r>
      <w:r>
        <w:rPr>
          <w:rFonts w:ascii="Liberation Sans Narrow" w:hAnsi="Liberation Sans Narrow"/>
          <w:sz w:val="26"/>
          <w:szCs w:val="26"/>
        </w:rPr>
        <w:t>n el padrón y las listas cobratorias de 2018 a 2021, pero los servicios municipales se niegan a entregarlos, evitando que se puedan demostrar estos hechos.</w:t>
      </w:r>
    </w:p>
    <w:p w:rsidR="0099609B" w:rsidRDefault="005A3D47">
      <w:pPr>
        <w:pStyle w:val="Textoindependiente"/>
        <w:spacing w:before="142" w:after="142"/>
        <w:jc w:val="both"/>
        <w:rPr>
          <w:rFonts w:ascii="Liberation Sans Narrow" w:hAnsi="Liberation Sans Narrow" w:hint="eastAsia"/>
          <w:sz w:val="26"/>
          <w:szCs w:val="26"/>
        </w:rPr>
      </w:pPr>
      <w:r>
        <w:rPr>
          <w:rFonts w:ascii="Liberation Sans Narrow" w:hAnsi="Liberation Sans Narrow"/>
          <w:sz w:val="26"/>
          <w:szCs w:val="26"/>
        </w:rPr>
        <w:t>Ya que los ingresos por la tasa de basuras corresponden a la Hacienda municipal, se debería comproba</w:t>
      </w:r>
      <w:r>
        <w:rPr>
          <w:rFonts w:ascii="Liberation Sans Narrow" w:hAnsi="Liberation Sans Narrow"/>
          <w:sz w:val="26"/>
          <w:szCs w:val="26"/>
        </w:rPr>
        <w:t xml:space="preserve">r de forma fehaciente el padrón de usuarios con las listas cobratorias y a su vez con </w:t>
      </w:r>
      <w:r>
        <w:rPr>
          <w:rFonts w:ascii="Liberation Sans Narrow" w:hAnsi="Liberation Sans Narrow"/>
          <w:sz w:val="26"/>
          <w:szCs w:val="26"/>
        </w:rPr>
        <w:lastRenderedPageBreak/>
        <w:t>el padrón del Impuesto de Bienes Inmueble que tienen servicio de recogida de basuras, con el fin detectar cualquier posible ocultación de cobros por parte del recaudador,</w:t>
      </w:r>
      <w:r>
        <w:rPr>
          <w:rFonts w:ascii="Liberation Sans Narrow" w:hAnsi="Liberation Sans Narrow"/>
          <w:sz w:val="26"/>
          <w:szCs w:val="26"/>
        </w:rPr>
        <w:t xml:space="preserve"> que en este caso es el concesionario del servicio de aguas.</w:t>
      </w:r>
    </w:p>
    <w:p w:rsidR="0099609B" w:rsidRDefault="005A3D47">
      <w:pPr>
        <w:spacing w:before="142" w:after="142" w:line="276" w:lineRule="auto"/>
        <w:jc w:val="both"/>
        <w:rPr>
          <w:rFonts w:ascii="Liberation Sans Narrow" w:hAnsi="Liberation Sans Narrow" w:hint="eastAsia"/>
        </w:rPr>
      </w:pPr>
      <w:r>
        <w:rPr>
          <w:rFonts w:ascii="Liberation Sans Narrow" w:hAnsi="Liberation Sans Narrow" w:cs="Arial"/>
          <w:sz w:val="26"/>
          <w:szCs w:val="26"/>
        </w:rPr>
        <w:t>Por lo anteriormente expuesto, el concejal que suscribe presenta para su debate y aprobación en su caso la siguiente</w:t>
      </w:r>
    </w:p>
    <w:p w:rsidR="0099609B" w:rsidRDefault="0099609B">
      <w:pPr>
        <w:spacing w:before="142" w:after="142" w:line="276" w:lineRule="auto"/>
        <w:jc w:val="both"/>
        <w:rPr>
          <w:rFonts w:ascii="Liberation Sans Narrow" w:hAnsi="Liberation Sans Narrow" w:hint="eastAsia"/>
        </w:rPr>
      </w:pPr>
    </w:p>
    <w:p w:rsidR="0099609B" w:rsidRDefault="005A3D47">
      <w:pPr>
        <w:spacing w:before="256" w:after="256" w:line="276" w:lineRule="auto"/>
        <w:jc w:val="center"/>
        <w:rPr>
          <w:rFonts w:ascii="Liberation Sans Narrow" w:hAnsi="Liberation Sans Narrow" w:hint="eastAsia"/>
        </w:rPr>
      </w:pPr>
      <w:r>
        <w:rPr>
          <w:rFonts w:ascii="Liberation Sans Narrow" w:hAnsi="Liberation Sans Narrow"/>
          <w:b/>
          <w:bCs/>
          <w:sz w:val="26"/>
          <w:szCs w:val="26"/>
        </w:rPr>
        <w:t>MOCIÓN</w:t>
      </w:r>
    </w:p>
    <w:p w:rsidR="0099609B" w:rsidRDefault="0099609B">
      <w:pPr>
        <w:spacing w:before="142" w:after="142" w:line="276" w:lineRule="auto"/>
        <w:jc w:val="both"/>
        <w:rPr>
          <w:rFonts w:ascii="Liberation Sans Narrow" w:hAnsi="Liberation Sans Narrow" w:hint="eastAsia"/>
        </w:rPr>
      </w:pPr>
    </w:p>
    <w:p w:rsidR="0099609B" w:rsidRDefault="005A3D47">
      <w:pPr>
        <w:spacing w:before="142" w:after="142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Que el pleno del Excelentísimo Ayuntamiento de Cartagena inste al Gob</w:t>
      </w:r>
      <w:r>
        <w:rPr>
          <w:rFonts w:ascii="Arial" w:hAnsi="Arial" w:cs="Arial"/>
          <w:b/>
          <w:bCs/>
        </w:rPr>
        <w:t>ierno local a investigar sobre las posibles infracciones que se han detallado anteriormente y se proceda a abrir expediente sancionador al concesionario en caso de que sean ciertas.</w:t>
      </w:r>
    </w:p>
    <w:p w:rsidR="0099609B" w:rsidRDefault="0099609B">
      <w:pPr>
        <w:spacing w:before="142" w:after="142" w:line="276" w:lineRule="auto"/>
        <w:jc w:val="both"/>
        <w:rPr>
          <w:rFonts w:ascii="Liberation Sans Narrow" w:hAnsi="Liberation Sans Narrow" w:hint="eastAsia"/>
          <w:sz w:val="26"/>
          <w:szCs w:val="26"/>
        </w:rPr>
      </w:pPr>
    </w:p>
    <w:tbl>
      <w:tblPr>
        <w:tblW w:w="9075" w:type="dxa"/>
        <w:tblInd w:w="9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  <w:gridCol w:w="116"/>
      </w:tblGrid>
      <w:tr w:rsidR="0099609B">
        <w:tc>
          <w:tcPr>
            <w:tcW w:w="9016" w:type="dxa"/>
            <w:shd w:val="clear" w:color="auto" w:fill="auto"/>
          </w:tcPr>
          <w:p w:rsidR="0099609B" w:rsidRDefault="005A3D47">
            <w:pPr>
              <w:spacing w:before="113" w:after="113"/>
              <w:jc w:val="center"/>
              <w:rPr>
                <w:rFonts w:ascii="Liberation Sans Narrow" w:hAnsi="Liberation Sans Narrow" w:hint="eastAsia"/>
              </w:rPr>
            </w:pPr>
            <w:r>
              <w:rPr>
                <w:rFonts w:ascii="Liberation Sans Narrow" w:hAnsi="Liberation Sans Narrow" w:cs="Arial"/>
                <w:sz w:val="26"/>
                <w:szCs w:val="26"/>
              </w:rPr>
              <w:t>Cartagena, 2</w:t>
            </w:r>
            <w:r>
              <w:rPr>
                <w:rFonts w:ascii="Liberation Sans Narrow" w:hAnsi="Liberation Sans Narrow" w:cs="Arial"/>
                <w:sz w:val="26"/>
                <w:szCs w:val="26"/>
              </w:rPr>
              <w:t xml:space="preserve">7 de septiembre </w:t>
            </w:r>
            <w:r>
              <w:rPr>
                <w:rFonts w:ascii="Liberation Sans Narrow" w:hAnsi="Liberation Sans Narrow" w:cs="Arial"/>
                <w:sz w:val="26"/>
                <w:szCs w:val="26"/>
              </w:rPr>
              <w:t>de 2022</w:t>
            </w:r>
          </w:p>
          <w:p w:rsidR="0099609B" w:rsidRDefault="0099609B">
            <w:pPr>
              <w:pStyle w:val="Contenidodelatabla"/>
              <w:spacing w:before="113" w:after="113"/>
              <w:rPr>
                <w:rFonts w:ascii="Liberation Sans Narrow" w:hAnsi="Liberation Sans Narrow" w:hint="eastAsia"/>
                <w:sz w:val="26"/>
                <w:szCs w:val="26"/>
              </w:rPr>
            </w:pPr>
          </w:p>
          <w:p w:rsidR="0099609B" w:rsidRDefault="0099609B">
            <w:pPr>
              <w:pStyle w:val="Contenidodelatabla"/>
              <w:spacing w:before="113" w:after="113"/>
              <w:rPr>
                <w:rFonts w:ascii="Liberation Sans Narrow" w:hAnsi="Liberation Sans Narrow" w:hint="eastAsia"/>
                <w:sz w:val="26"/>
                <w:szCs w:val="26"/>
              </w:rPr>
            </w:pPr>
          </w:p>
          <w:p w:rsidR="0099609B" w:rsidRDefault="0099609B">
            <w:pPr>
              <w:pStyle w:val="Contenidodelatabla"/>
              <w:spacing w:before="113" w:after="113"/>
              <w:rPr>
                <w:rFonts w:ascii="Liberation Sans Narrow" w:hAnsi="Liberation Sans Narrow" w:hint="eastAsia"/>
                <w:sz w:val="26"/>
                <w:szCs w:val="26"/>
              </w:rPr>
            </w:pPr>
          </w:p>
          <w:p w:rsidR="0099609B" w:rsidRDefault="005A3D47">
            <w:pPr>
              <w:pStyle w:val="Contenidodelatabla"/>
              <w:spacing w:before="113" w:after="113"/>
              <w:jc w:val="center"/>
              <w:rPr>
                <w:rFonts w:ascii="Liberation Sans Narrow" w:hAnsi="Liberation Sans Narrow" w:hint="eastAsia"/>
              </w:rPr>
            </w:pPr>
            <w:r>
              <w:rPr>
                <w:rFonts w:ascii="Liberation Sans Narrow" w:hAnsi="Liberation Sans Narrow"/>
                <w:sz w:val="26"/>
                <w:szCs w:val="26"/>
              </w:rPr>
              <w:t>Fdo: Gonzalo Abad Muñoz</w:t>
            </w:r>
          </w:p>
        </w:tc>
        <w:tc>
          <w:tcPr>
            <w:tcW w:w="58" w:type="dxa"/>
            <w:shd w:val="clear" w:color="auto" w:fill="auto"/>
          </w:tcPr>
          <w:p w:rsidR="0099609B" w:rsidRDefault="0099609B">
            <w:pPr>
              <w:pStyle w:val="Contenidodelatabla"/>
              <w:spacing w:before="113" w:after="113"/>
              <w:rPr>
                <w:rFonts w:ascii="Liberation Sans Narrow" w:hAnsi="Liberation Sans Narrow" w:hint="eastAsia"/>
                <w:sz w:val="26"/>
                <w:szCs w:val="26"/>
              </w:rPr>
            </w:pPr>
          </w:p>
        </w:tc>
      </w:tr>
    </w:tbl>
    <w:p w:rsidR="0099609B" w:rsidRDefault="0099609B">
      <w:pPr>
        <w:pStyle w:val="Textoindependiente"/>
        <w:spacing w:before="113" w:after="113"/>
        <w:jc w:val="center"/>
        <w:rPr>
          <w:rFonts w:ascii="Liberation Sans Narrow" w:hAnsi="Liberation Sans Narrow" w:hint="eastAsia"/>
          <w:sz w:val="26"/>
          <w:szCs w:val="26"/>
        </w:rPr>
      </w:pPr>
    </w:p>
    <w:p w:rsidR="0099609B" w:rsidRDefault="005A3D47">
      <w:pPr>
        <w:pStyle w:val="Textoindependiente"/>
        <w:spacing w:before="113" w:after="113"/>
        <w:jc w:val="center"/>
        <w:rPr>
          <w:rFonts w:ascii="Liberation Sans Narrow" w:hAnsi="Liberation Sans Narrow" w:hint="eastAsia"/>
        </w:rPr>
      </w:pPr>
      <w:r>
        <w:rPr>
          <w:rFonts w:ascii="Liberation Sans Narrow" w:hAnsi="Liberation Sans Narrow"/>
          <w:b/>
          <w:bCs/>
          <w:color w:val="000000"/>
          <w:sz w:val="26"/>
          <w:szCs w:val="26"/>
        </w:rPr>
        <w:t xml:space="preserve">A LA </w:t>
      </w:r>
      <w:r>
        <w:rPr>
          <w:rFonts w:ascii="Liberation Sans Narrow" w:hAnsi="Liberation Sans Narrow"/>
          <w:b/>
          <w:bCs/>
          <w:color w:val="000000"/>
          <w:sz w:val="26"/>
          <w:szCs w:val="26"/>
        </w:rPr>
        <w:t>ALCALDÍA – PRESIDENCIA DEL EXCMO. AYUNTAMIENTO DE CARTAGENA</w:t>
      </w:r>
    </w:p>
    <w:sectPr w:rsidR="0099609B">
      <w:footerReference w:type="default" r:id="rId9"/>
      <w:pgSz w:w="11906" w:h="16838"/>
      <w:pgMar w:top="1191" w:right="1417" w:bottom="1755" w:left="1417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3D47">
      <w:r>
        <w:separator/>
      </w:r>
    </w:p>
  </w:endnote>
  <w:endnote w:type="continuationSeparator" w:id="0">
    <w:p w:rsidR="00000000" w:rsidRDefault="005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1"/>
    <w:family w:val="swiss"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B" w:rsidRDefault="005A3D47">
    <w:pPr>
      <w:pStyle w:val="Piedepgin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3D47">
      <w:r>
        <w:separator/>
      </w:r>
    </w:p>
  </w:footnote>
  <w:footnote w:type="continuationSeparator" w:id="0">
    <w:p w:rsidR="00000000" w:rsidRDefault="005A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9B"/>
    <w:rsid w:val="005A3D47"/>
    <w:rsid w:val="009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Noto Sans CJK SC" w:hAnsi="Liberation Sans" w:cs="Lohit Devanagari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MS Mincho" w:hAnsi="Cambria" w:cs="Tahoma"/>
      <w:kern w:val="0"/>
      <w:sz w:val="24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alloonTextChar">
    <w:name w:val="Balloon Text Char"/>
    <w:basedOn w:val="Fuentedeprrafopredeter"/>
    <w:qFormat/>
    <w:rPr>
      <w:rFonts w:ascii="Lucida Grande" w:hAnsi="Lucida Grande" w:cs="Lucida Grande"/>
      <w:sz w:val="18"/>
      <w:szCs w:val="18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0"/>
      <w:szCs w:val="20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0"/>
      <w:sz w:val="24"/>
      <w:lang w:eastAsia="en-US"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Noto Sans CJK SC" w:hAnsi="Liberation Sans" w:cs="Lohit Devanagari"/>
        <w:kern w:val="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MS Mincho" w:hAnsi="Cambria" w:cs="Tahoma"/>
      <w:kern w:val="0"/>
      <w:sz w:val="24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alloonTextChar">
    <w:name w:val="Balloon Text Char"/>
    <w:basedOn w:val="Fuentedeprrafopredeter"/>
    <w:qFormat/>
    <w:rPr>
      <w:rFonts w:ascii="Lucida Grande" w:hAnsi="Lucida Grande" w:cs="Lucida Grande"/>
      <w:sz w:val="18"/>
      <w:szCs w:val="18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glob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0"/>
      <w:szCs w:val="20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0"/>
      <w:sz w:val="24"/>
      <w:lang w:eastAsia="en-US" w:bidi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perez-solero garcia-carreño</dc:creator>
  <cp:lastModifiedBy>CRISTINA MORENO ENCABO</cp:lastModifiedBy>
  <cp:revision>2</cp:revision>
  <cp:lastPrinted>2021-05-21T20:12:00Z</cp:lastPrinted>
  <dcterms:created xsi:type="dcterms:W3CDTF">2023-03-14T09:16:00Z</dcterms:created>
  <dcterms:modified xsi:type="dcterms:W3CDTF">2023-03-14T09:16:00Z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