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ahoma" w:hAnsi="Tahoma" w:eastAsia="Tahoma" w:cs="Tahoma"/>
          <w:color w:val="17365D"/>
          <w:sz w:val="12"/>
          <w:szCs w:val="12"/>
        </w:rPr>
      </w:pPr>
      <w:hyperlink r:id="rId2">
        <w:bookmarkStart w:id="0" w:name="page1"/>
        <w:bookmarkEnd w:id="0"/>
        <w:r>
          <w:rPr>
            <w:rFonts w:eastAsia="Tahoma" w:cs="Tahoma" w:ascii="Tahoma" w:hAnsi="Tahoma"/>
            <w:color w:val="17365D"/>
            <w:sz w:val="12"/>
            <w:szCs w:val="12"/>
          </w:rPr>
          <w:t>SELLO</w:t>
        </w:r>
      </w:hyperlink>
    </w:p>
    <w:p>
      <w:pPr>
        <w:pStyle w:val="Normal"/>
        <w:spacing w:lineRule="exact" w:line="88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tbl>
      <w:tblPr>
        <w:tblW w:w="5000" w:type="pct"/>
        <w:jc w:val="left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560"/>
      </w:tblGrid>
      <w:tr>
        <w:trPr>
          <w:trHeight w:val="775" w:hRule="atLeast"/>
        </w:trPr>
        <w:tc>
          <w:tcPr>
            <w:tcW w:w="419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9"/>
                <w:sz w:val="12"/>
                <w:szCs w:val="12"/>
              </w:rPr>
            </w:pPr>
            <w:hyperlink r:id="rId3">
              <w:r>
                <w:rPr>
                  <w:rFonts w:eastAsia="Tahoma" w:cs="Tahoma" w:ascii="Tahoma" w:hAnsi="Tahoma"/>
                  <w:color w:val="17365D"/>
                  <w:w w:val="99"/>
                  <w:sz w:val="12"/>
                  <w:szCs w:val="12"/>
                </w:rPr>
                <w:t>el 19/11/2022</w:t>
              </w:r>
            </w:hyperlink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7"/>
                <w:sz w:val="12"/>
                <w:szCs w:val="12"/>
              </w:rPr>
            </w:pPr>
            <w:hyperlink r:id="rId4">
              <w:r>
                <w:rPr>
                  <w:rFonts w:eastAsia="Tahoma" w:cs="Tahoma" w:ascii="Tahoma" w:hAnsi="Tahoma"/>
                  <w:color w:val="17365D"/>
                  <w:w w:val="97"/>
                  <w:sz w:val="12"/>
                  <w:szCs w:val="12"/>
                </w:rPr>
                <w:t>133082 / 2022</w:t>
              </w:r>
            </w:hyperlink>
          </w:p>
        </w:tc>
      </w:tr>
      <w:tr>
        <w:trPr>
          <w:trHeight w:val="609" w:hRule="atLeast"/>
        </w:trPr>
        <w:tc>
          <w:tcPr>
            <w:tcW w:w="419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9"/>
                <w:sz w:val="12"/>
                <w:szCs w:val="12"/>
              </w:rPr>
            </w:pPr>
            <w:hyperlink r:id="rId5">
              <w:r>
                <w:rPr>
                  <w:rFonts w:eastAsia="Tahoma" w:cs="Tahoma" w:ascii="Tahoma" w:hAnsi="Tahoma"/>
                  <w:color w:val="17365D"/>
                  <w:w w:val="99"/>
                  <w:sz w:val="12"/>
                  <w:szCs w:val="12"/>
                </w:rPr>
                <w:t>Registrado</w:t>
              </w:r>
            </w:hyperlink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sz w:val="12"/>
                <w:szCs w:val="12"/>
              </w:rPr>
            </w:pPr>
            <w:hyperlink r:id="rId6">
              <w:r>
                <w:rPr>
                  <w:rFonts w:eastAsia="Tahoma" w:cs="Tahoma" w:ascii="Tahoma" w:hAnsi="Tahoma"/>
                  <w:color w:val="17365D"/>
                  <w:sz w:val="12"/>
                  <w:szCs w:val="12"/>
                </w:rPr>
                <w:t>de entrada</w:t>
              </w:r>
            </w:hyperlink>
          </w:p>
        </w:tc>
      </w:tr>
      <w:tr>
        <w:trPr>
          <w:trHeight w:val="177" w:hRule="atLeast"/>
        </w:trPr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color w:val="auto"/>
                <w:sz w:val="15"/>
                <w:szCs w:val="15"/>
              </w:rPr>
            </w:pPr>
            <w:r>
              <w:rPr>
                <w:color w:val="auto"/>
                <w:sz w:val="15"/>
                <w:szCs w:val="15"/>
              </w:rPr>
            </w:r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sz w:val="12"/>
                <w:szCs w:val="12"/>
              </w:rPr>
            </w:pPr>
            <w:hyperlink r:id="rId7">
              <w:r>
                <w:rPr>
                  <w:rFonts w:eastAsia="Tahoma" w:cs="Tahoma" w:ascii="Tahoma" w:hAnsi="Tahoma"/>
                  <w:color w:val="17365D"/>
                  <w:sz w:val="12"/>
                  <w:szCs w:val="12"/>
                </w:rPr>
                <w:t>Nº</w:t>
              </w:r>
            </w:hyperlink>
          </w:p>
        </w:tc>
      </w:tr>
    </w:tbl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br w:type="column"/>
      </w:r>
      <w:r>
        <w:rPr>
          <w:color w:val="auto"/>
          <w:sz w:val="20"/>
          <w:szCs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-398145</wp:posOffset>
            </wp:positionH>
            <wp:positionV relativeFrom="paragraph">
              <wp:posOffset>-618490</wp:posOffset>
            </wp:positionV>
            <wp:extent cx="6346825" cy="10161905"/>
            <wp:effectExtent l="0" t="0" r="0" b="0"/>
            <wp:wrapNone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10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7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18"/>
          <w:szCs w:val="18"/>
        </w:rPr>
        <w:t>Grupo Municipal Unidas Podemos Izquierda Unida-Verdes Equo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4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2" w:before="0" w:after="0"/>
        <w:ind w:right="5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2"/>
          <w:szCs w:val="22"/>
        </w:rPr>
        <w:t>MOCIÓN</w:t>
      </w:r>
      <w:r>
        <w:rPr>
          <w:rFonts w:eastAsia="Times New Roman" w:cs="Times New Roman"/>
          <w:color w:val="auto"/>
          <w:sz w:val="22"/>
          <w:szCs w:val="22"/>
        </w:rPr>
        <w:t xml:space="preserve"> QUE PRESENTA AROHA NICOLÁS GARCÍA, CONCEJALA DEL GRUPO MUNICIPAL </w:t>
      </w:r>
      <w:r>
        <w:rPr>
          <w:rFonts w:eastAsia="Times New Roman" w:cs="Times New Roman"/>
          <w:b/>
          <w:bCs/>
          <w:color w:val="auto"/>
          <w:sz w:val="22"/>
          <w:szCs w:val="22"/>
        </w:rPr>
        <w:t>UNIDAS PODEMOS IZQUIERDA UNIDA-VERDES EQUO</w:t>
      </w:r>
      <w:r>
        <w:rPr>
          <w:rFonts w:eastAsia="Times New Roman" w:cs="Times New Roman"/>
          <w:color w:val="auto"/>
          <w:sz w:val="22"/>
          <w:szCs w:val="22"/>
        </w:rPr>
        <w:t xml:space="preserve">, DEL EXCMO. AYUNTAMIENTO DE CARTAGENA, SOBRE </w:t>
      </w:r>
      <w:r>
        <w:rPr>
          <w:rFonts w:eastAsia="Times New Roman" w:cs="Times New Roman"/>
          <w:b/>
          <w:bCs/>
          <w:color w:val="auto"/>
          <w:sz w:val="22"/>
          <w:szCs w:val="22"/>
        </w:rPr>
        <w:t>MEMORIA DEMOCRÁTICA.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8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La moción que se somete a la consideración del Pleno es la siguiente: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7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2"/>
          <w:szCs w:val="22"/>
        </w:rPr>
        <w:t>EXPOSICIÓN DE MOTIVOS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8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7" w:before="0" w:after="0"/>
        <w:ind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El pasado 19 de octubre se ha aprobó la Ley 20/2022 de Memoria Democrática, cuyo artículo 40 sobre Revisión de reconocimientos, honores y distinciones, dice así:</w:t>
      </w:r>
    </w:p>
    <w:p>
      <w:pPr>
        <w:pStyle w:val="Normal"/>
        <w:spacing w:lineRule="exact" w:line="10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0" w:before="0" w:after="0"/>
        <w:ind w:left="500" w:right="1040" w:hanging="0"/>
        <w:jc w:val="both"/>
        <w:rPr>
          <w:color w:val="auto"/>
          <w:sz w:val="20"/>
          <w:szCs w:val="20"/>
        </w:rPr>
      </w:pPr>
      <w:r>
        <w:rPr>
          <w:rFonts w:eastAsia="Arial" w:cs="Arial" w:ascii="Arial" w:hAnsi="Arial"/>
          <w:i/>
          <w:iCs/>
          <w:color w:val="auto"/>
          <w:sz w:val="18"/>
          <w:szCs w:val="18"/>
        </w:rPr>
        <w:t>“</w:t>
      </w:r>
      <w:r>
        <w:rPr>
          <w:rFonts w:eastAsia="Times New Roman" w:cs="Times New Roman"/>
          <w:i/>
          <w:iCs/>
          <w:color w:val="auto"/>
          <w:sz w:val="21"/>
          <w:szCs w:val="21"/>
        </w:rPr>
        <w:t>Las administraciones públicas, en el ejercicio de sus competencias y con arreglo a los correspondientes procedimientos, adoptarán las medidas oportunas para revisar de oficio o retirar la concesión de reconocimientos, honores y distinciones anteriores a la entrada en vigor de esta ley que resulten manifiestamente incompatibles con los valores democráticos y los derechos y libertades fundamentales, que comporten exaltación o enaltecimiento de la sublevación militar, la Guerra o la Dictadura o que hubieran sido concedidas con motivo de haber formado parte del aparato de represión de la dictadura franquista”.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9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Por todo lo expuesto presento para su debate y aprobación si procede la siguiente propuesta de</w:t>
      </w:r>
    </w:p>
    <w:p>
      <w:pPr>
        <w:pStyle w:val="Normal"/>
        <w:spacing w:lineRule="exact" w:line="3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2"/>
          <w:szCs w:val="22"/>
        </w:rPr>
        <w:t>MOCIÓN</w:t>
      </w:r>
      <w:r>
        <w:rPr>
          <w:rFonts w:eastAsia="Times New Roman" w:cs="Times New Roman"/>
          <w:color w:val="auto"/>
          <w:sz w:val="22"/>
          <w:szCs w:val="22"/>
        </w:rPr>
        <w:t>: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7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83" w:before="0" w:after="0"/>
        <w:ind w:left="500" w:right="5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1.- El pleno del Ayuntamiento de Cartagena insta al Gobierno local a la revisión y retirada de honores y distinciones que hayan sido concedidos por este Ayuntamiento a partir del 1 de abril de 1939 y se encuentren actualmente en vigor, atendiendo a la aplicación del artículo 40 de la Ley de Memoria Democrática.</w:t>
      </w:r>
    </w:p>
    <w:p>
      <w:pPr>
        <w:pStyle w:val="Normal"/>
        <w:spacing w:lineRule="exact" w:line="13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0" w:before="0" w:after="0"/>
        <w:ind w:left="500"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2.- El pleno del Ayuntamiento de Cartagena insta al Gobierno local a convocar a la mayor brevedad posible a la comisión de Memoria Histórica Municipal para dar cumplimiento a la recientemente aprobada Ley 20/2022, de 19 de octubre, de Memoria Democrática.</w:t>
      </w:r>
    </w:p>
    <w:p>
      <w:pPr>
        <w:pStyle w:val="Normal"/>
        <w:spacing w:lineRule="exact" w:line="12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0" w:before="0" w:after="0"/>
        <w:ind w:left="500"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3.- El pleno del Ayuntamiento de Cartagena insta al Gobierno local a no dilatar ni retrasar injustificadamente los trámites administrativos para dar cumplimiento a la Ley de Memoria Democrática.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5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78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</w:rPr>
        <w:t>1</w:t>
      </w:r>
    </w:p>
    <w:p>
      <w:pPr>
        <w:pStyle w:val="Normal"/>
        <w:spacing w:before="0" w:after="0"/>
        <w:ind w:left="198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</w:rPr>
        <w:t>Excma. Sra. Alcaldesa del Ayuntamiento de Cartagena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1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4780" w:leader="none"/>
        </w:tabs>
        <w:spacing w:before="0" w:after="0"/>
        <w:ind w:left="180" w:hanging="0"/>
        <w:rPr>
          <w:rFonts w:ascii="Arial" w:hAnsi="Arial" w:eastAsia="Arial" w:cs="Arial"/>
          <w:b/>
          <w:b/>
          <w:bCs/>
          <w:color w:val="17365D"/>
          <w:sz w:val="13"/>
          <w:szCs w:val="13"/>
        </w:rPr>
      </w:pPr>
      <w:hyperlink r:id="rId9">
        <w:r>
          <w:rPr>
            <w:rFonts w:eastAsia="Arial" w:cs="Arial" w:ascii="Arial" w:hAnsi="Arial"/>
            <w:color w:val="17365D"/>
            <w:sz w:val="14"/>
            <w:szCs w:val="14"/>
          </w:rPr>
          <w:t>AYUNTAMIENTO DE CARTAGENA</w:t>
        </w:r>
      </w:hyperlink>
      <w:r>
        <w:rPr>
          <w:rFonts w:eastAsia="Arial" w:cs="Arial" w:ascii="Arial" w:hAnsi="Arial"/>
          <w:color w:val="17365D"/>
          <w:sz w:val="14"/>
          <w:szCs w:val="14"/>
        </w:rPr>
        <w:tab/>
      </w:r>
      <w:hyperlink r:id="rId10">
        <w:r>
          <w:rPr>
            <w:rFonts w:eastAsia="Arial" w:cs="Arial" w:ascii="Arial" w:hAnsi="Arial"/>
            <w:b/>
            <w:bCs/>
            <w:color w:val="17365D"/>
            <w:sz w:val="13"/>
            <w:szCs w:val="13"/>
          </w:rPr>
          <w:t>Código Seguro de Verificación: H2AA H4QX MAN9 FJ7N TKXT</w:t>
        </w:r>
      </w:hyperlink>
    </w:p>
    <w:p>
      <w:pPr>
        <w:pStyle w:val="Normal"/>
        <w:spacing w:lineRule="exact" w:line="27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80" w:hanging="0"/>
        <w:rPr>
          <w:rFonts w:ascii="Tahoma" w:hAnsi="Tahoma" w:eastAsia="Tahoma" w:cs="Tahoma"/>
          <w:b/>
          <w:b/>
          <w:bCs/>
          <w:color w:val="17365D"/>
          <w:sz w:val="16"/>
          <w:szCs w:val="16"/>
        </w:rPr>
      </w:pPr>
      <w:hyperlink r:id="rId11">
        <w:r>
          <w:rPr>
            <w:rFonts w:eastAsia="Tahoma" w:cs="Tahoma" w:ascii="Tahoma" w:hAnsi="Tahoma"/>
            <w:b/>
            <w:bCs/>
            <w:color w:val="17365D"/>
            <w:sz w:val="16"/>
            <w:szCs w:val="16"/>
          </w:rPr>
          <w:t>2022-11-19 Moción memoria democrática</w:t>
        </w:r>
      </w:hyperlink>
    </w:p>
    <w:p>
      <w:pPr>
        <w:pStyle w:val="Normal"/>
        <w:spacing w:lineRule="exact" w:line="2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8360" w:leader="none"/>
        </w:tabs>
        <w:spacing w:before="0" w:after="0"/>
        <w:ind w:left="180" w:hanging="0"/>
        <w:rPr>
          <w:rFonts w:ascii="Tahoma" w:hAnsi="Tahoma" w:eastAsia="Tahoma" w:cs="Tahoma"/>
          <w:color w:val="17365D"/>
          <w:sz w:val="11"/>
          <w:szCs w:val="11"/>
        </w:rPr>
      </w:pPr>
      <w:hyperlink r:id="rId12">
        <w:r>
          <w:rPr>
            <w:rFonts w:eastAsia="Arial" w:cs="Arial" w:ascii="Arial" w:hAnsi="Arial"/>
            <w:color w:val="17365D"/>
            <w:sz w:val="12"/>
            <w:szCs w:val="12"/>
          </w:rPr>
          <w:t>La comprobación de la autenticidad de este documento y otra información está disponible en https://cartagena.sedipualba.es/</w:t>
        </w:r>
      </w:hyperlink>
      <w:r>
        <w:rPr>
          <w:rFonts w:eastAsia="Arial" w:cs="Arial" w:ascii="Arial" w:hAnsi="Arial"/>
          <w:color w:val="17365D"/>
          <w:sz w:val="12"/>
          <w:szCs w:val="12"/>
        </w:rPr>
        <w:tab/>
      </w:r>
      <w:hyperlink r:id="rId13">
        <w:r>
          <w:rPr>
            <w:rFonts w:eastAsia="Tahoma" w:cs="Tahoma" w:ascii="Tahoma" w:hAnsi="Tahoma"/>
            <w:color w:val="17365D"/>
            <w:sz w:val="11"/>
            <w:szCs w:val="11"/>
          </w:rPr>
          <w:t>Pág. 1 de 2</w:t>
        </w:r>
      </w:hyperlink>
      <w:bookmarkStart w:id="1" w:name="page2"/>
      <w:bookmarkEnd w:id="1"/>
    </w:p>
    <w:p>
      <w:pPr>
        <w:sectPr>
          <w:type w:val="continuous"/>
          <w:pgSz w:w="11906" w:h="16838"/>
          <w:pgMar w:left="760" w:right="460" w:header="0" w:top="1358" w:footer="0" w:bottom="0" w:gutter="0"/>
          <w:cols w:num="2" w:equalWidth="false" w:sep="false">
            <w:col w:w="980" w:space="720"/>
            <w:col w:w="898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rPr>
          <w:rFonts w:ascii="Tahoma" w:hAnsi="Tahoma" w:eastAsia="Tahoma" w:cs="Tahoma"/>
          <w:color w:val="17365D"/>
          <w:sz w:val="12"/>
          <w:szCs w:val="12"/>
        </w:rPr>
      </w:pPr>
      <w:hyperlink r:id="rId14">
        <w:r>
          <w:rPr>
            <w:rFonts w:eastAsia="Tahoma" w:cs="Tahoma" w:ascii="Tahoma" w:hAnsi="Tahoma"/>
            <w:color w:val="17365D"/>
            <w:sz w:val="12"/>
            <w:szCs w:val="12"/>
          </w:rPr>
          <w:t>SELLO</w:t>
        </w:r>
      </w:hyperlink>
    </w:p>
    <w:p>
      <w:pPr>
        <w:pStyle w:val="Normal"/>
        <w:spacing w:lineRule="exact" w:line="8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tbl>
      <w:tblPr>
        <w:tblW w:w="5000" w:type="pct"/>
        <w:jc w:val="left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560"/>
      </w:tblGrid>
      <w:tr>
        <w:trPr>
          <w:trHeight w:val="775" w:hRule="atLeast"/>
        </w:trPr>
        <w:tc>
          <w:tcPr>
            <w:tcW w:w="419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9"/>
                <w:sz w:val="12"/>
                <w:szCs w:val="12"/>
              </w:rPr>
            </w:pPr>
            <w:hyperlink r:id="rId15">
              <w:r>
                <w:rPr>
                  <w:rFonts w:eastAsia="Tahoma" w:cs="Tahoma" w:ascii="Tahoma" w:hAnsi="Tahoma"/>
                  <w:color w:val="17365D"/>
                  <w:w w:val="99"/>
                  <w:sz w:val="12"/>
                  <w:szCs w:val="12"/>
                </w:rPr>
                <w:t>el 19/11/2022</w:t>
              </w:r>
            </w:hyperlink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7"/>
                <w:sz w:val="12"/>
                <w:szCs w:val="12"/>
              </w:rPr>
            </w:pPr>
            <w:hyperlink r:id="rId16">
              <w:r>
                <w:rPr>
                  <w:rFonts w:eastAsia="Tahoma" w:cs="Tahoma" w:ascii="Tahoma" w:hAnsi="Tahoma"/>
                  <w:color w:val="17365D"/>
                  <w:w w:val="97"/>
                  <w:sz w:val="12"/>
                  <w:szCs w:val="12"/>
                </w:rPr>
                <w:t>133082 / 2022</w:t>
              </w:r>
            </w:hyperlink>
          </w:p>
        </w:tc>
      </w:tr>
      <w:tr>
        <w:trPr>
          <w:trHeight w:val="609" w:hRule="atLeast"/>
        </w:trPr>
        <w:tc>
          <w:tcPr>
            <w:tcW w:w="419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9"/>
                <w:sz w:val="12"/>
                <w:szCs w:val="12"/>
              </w:rPr>
            </w:pPr>
            <w:hyperlink r:id="rId17">
              <w:r>
                <w:rPr>
                  <w:rFonts w:eastAsia="Tahoma" w:cs="Tahoma" w:ascii="Tahoma" w:hAnsi="Tahoma"/>
                  <w:color w:val="17365D"/>
                  <w:w w:val="99"/>
                  <w:sz w:val="12"/>
                  <w:szCs w:val="12"/>
                </w:rPr>
                <w:t>Registrado</w:t>
              </w:r>
            </w:hyperlink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sz w:val="12"/>
                <w:szCs w:val="12"/>
              </w:rPr>
            </w:pPr>
            <w:hyperlink r:id="rId18">
              <w:r>
                <w:rPr>
                  <w:rFonts w:eastAsia="Tahoma" w:cs="Tahoma" w:ascii="Tahoma" w:hAnsi="Tahoma"/>
                  <w:color w:val="17365D"/>
                  <w:sz w:val="12"/>
                  <w:szCs w:val="12"/>
                </w:rPr>
                <w:t>de entrada</w:t>
              </w:r>
            </w:hyperlink>
          </w:p>
        </w:tc>
      </w:tr>
      <w:tr>
        <w:trPr>
          <w:trHeight w:val="177" w:hRule="atLeast"/>
        </w:trPr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color w:val="auto"/>
                <w:sz w:val="15"/>
                <w:szCs w:val="15"/>
              </w:rPr>
            </w:pPr>
            <w:r>
              <w:rPr>
                <w:color w:val="auto"/>
                <w:sz w:val="15"/>
                <w:szCs w:val="15"/>
              </w:rPr>
            </w:r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sz w:val="12"/>
                <w:szCs w:val="12"/>
              </w:rPr>
            </w:pPr>
            <w:hyperlink r:id="rId19">
              <w:r>
                <w:rPr>
                  <w:rFonts w:eastAsia="Tahoma" w:cs="Tahoma" w:ascii="Tahoma" w:hAnsi="Tahoma"/>
                  <w:color w:val="17365D"/>
                  <w:sz w:val="12"/>
                  <w:szCs w:val="12"/>
                </w:rPr>
                <w:t>Nº</w:t>
              </w:r>
            </w:hyperlink>
          </w:p>
        </w:tc>
      </w:tr>
    </w:tbl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br w:type="column"/>
      </w:r>
      <w:r>
        <w:rPr>
          <w:color w:val="auto"/>
          <w:sz w:val="20"/>
          <w:szCs w:val="20"/>
        </w:rPr>
      </w:r>
    </w:p>
    <w:p>
      <w:pPr>
        <w:pStyle w:val="Normal"/>
        <w:spacing w:lineRule="exact" w:line="7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18"/>
          <w:szCs w:val="18"/>
        </w:rPr>
        <w:t>Grupo Municipal Unidas Podemos Izquierda Unida-Verdes Equo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-636270</wp:posOffset>
            </wp:positionH>
            <wp:positionV relativeFrom="paragraph">
              <wp:posOffset>-812165</wp:posOffset>
            </wp:positionV>
            <wp:extent cx="6346825" cy="10161905"/>
            <wp:effectExtent l="0" t="0" r="0" b="0"/>
            <wp:wrapNone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10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83" w:before="0" w:after="0"/>
        <w:ind w:left="500"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4.- El pleno del Ayuntamiento de Cartagena insta al gobierno local a actualizar, hacer pública y facilitar su acceso a quién lo solicite a la relación de reconocimientos, honores y distinciones que han sido concedidos, y estén en vigor, por este Ayuntamiento, a partir del 1 de abril de 1939.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4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6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En Cartagena, a 19 de noviembre de 2022.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5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356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Aroha Nicolás García</w:t>
      </w:r>
    </w:p>
    <w:p>
      <w:pPr>
        <w:pStyle w:val="Normal"/>
        <w:spacing w:lineRule="exact" w:line="2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390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Concejala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78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</w:rPr>
        <w:t>2</w:t>
      </w:r>
    </w:p>
    <w:p>
      <w:pPr>
        <w:pStyle w:val="Normal"/>
        <w:spacing w:before="0" w:after="0"/>
        <w:ind w:left="198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</w:rPr>
        <w:t>Excma. Sra. Alcaldesa del Ayuntamiento de Cartagena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1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4780" w:leader="none"/>
        </w:tabs>
        <w:spacing w:before="0" w:after="0"/>
        <w:ind w:left="180" w:hanging="0"/>
        <w:rPr>
          <w:rFonts w:ascii="Arial" w:hAnsi="Arial" w:eastAsia="Arial" w:cs="Arial"/>
          <w:b/>
          <w:b/>
          <w:bCs/>
          <w:color w:val="17365D"/>
          <w:sz w:val="13"/>
          <w:szCs w:val="13"/>
        </w:rPr>
      </w:pPr>
      <w:hyperlink r:id="rId20">
        <w:r>
          <w:rPr>
            <w:rFonts w:eastAsia="Arial" w:cs="Arial" w:ascii="Arial" w:hAnsi="Arial"/>
            <w:color w:val="17365D"/>
            <w:sz w:val="14"/>
            <w:szCs w:val="14"/>
          </w:rPr>
          <w:t>AYUNTAMIENTO DE CARTAGENA</w:t>
        </w:r>
      </w:hyperlink>
      <w:r>
        <w:rPr>
          <w:rFonts w:eastAsia="Arial" w:cs="Arial" w:ascii="Arial" w:hAnsi="Arial"/>
          <w:color w:val="17365D"/>
          <w:sz w:val="14"/>
          <w:szCs w:val="14"/>
        </w:rPr>
        <w:tab/>
      </w:r>
      <w:hyperlink r:id="rId21">
        <w:r>
          <w:rPr>
            <w:rFonts w:eastAsia="Arial" w:cs="Arial" w:ascii="Arial" w:hAnsi="Arial"/>
            <w:b/>
            <w:bCs/>
            <w:color w:val="17365D"/>
            <w:sz w:val="13"/>
            <w:szCs w:val="13"/>
          </w:rPr>
          <w:t>Código Seguro de Verificación: H2AA H4QX MAN9 FJ7N TKXT</w:t>
        </w:r>
      </w:hyperlink>
    </w:p>
    <w:p>
      <w:pPr>
        <w:pStyle w:val="Normal"/>
        <w:spacing w:lineRule="exact" w:line="27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80" w:hanging="0"/>
        <w:rPr>
          <w:rFonts w:ascii="Tahoma" w:hAnsi="Tahoma" w:eastAsia="Tahoma" w:cs="Tahoma"/>
          <w:b/>
          <w:b/>
          <w:bCs/>
          <w:color w:val="17365D"/>
          <w:sz w:val="16"/>
          <w:szCs w:val="16"/>
        </w:rPr>
      </w:pPr>
      <w:hyperlink r:id="rId22">
        <w:r>
          <w:rPr>
            <w:rFonts w:eastAsia="Tahoma" w:cs="Tahoma" w:ascii="Tahoma" w:hAnsi="Tahoma"/>
            <w:b/>
            <w:bCs/>
            <w:color w:val="17365D"/>
            <w:sz w:val="16"/>
            <w:szCs w:val="16"/>
          </w:rPr>
          <w:t>2022-11-19 Moción memoria democrática</w:t>
        </w:r>
      </w:hyperlink>
    </w:p>
    <w:p>
      <w:pPr>
        <w:pStyle w:val="Normal"/>
        <w:spacing w:lineRule="exact" w:line="2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8360" w:leader="none"/>
        </w:tabs>
        <w:spacing w:before="0" w:after="0"/>
        <w:ind w:left="180" w:hanging="0"/>
        <w:rPr>
          <w:rFonts w:ascii="Tahoma" w:hAnsi="Tahoma" w:eastAsia="Tahoma" w:cs="Tahoma"/>
          <w:color w:val="17365D"/>
          <w:sz w:val="11"/>
          <w:szCs w:val="11"/>
        </w:rPr>
      </w:pPr>
      <w:hyperlink r:id="rId23">
        <w:r>
          <w:rPr>
            <w:rFonts w:eastAsia="Arial" w:cs="Arial" w:ascii="Arial" w:hAnsi="Arial"/>
            <w:color w:val="17365D"/>
            <w:sz w:val="12"/>
            <w:szCs w:val="12"/>
          </w:rPr>
          <w:t>La comprobación de la autenticidad de este documento y otra información está disponible en https://cartagena.sedipualba.es/</w:t>
        </w:r>
      </w:hyperlink>
      <w:r>
        <w:rPr>
          <w:rFonts w:eastAsia="Arial" w:cs="Arial" w:ascii="Arial" w:hAnsi="Arial"/>
          <w:color w:val="17365D"/>
          <w:sz w:val="12"/>
          <w:szCs w:val="12"/>
        </w:rPr>
        <w:tab/>
      </w:r>
      <w:hyperlink r:id="rId24">
        <w:r>
          <w:rPr>
            <w:rFonts w:eastAsia="Tahoma" w:cs="Tahoma" w:ascii="Tahoma" w:hAnsi="Tahoma"/>
            <w:color w:val="17365D"/>
            <w:sz w:val="11"/>
            <w:szCs w:val="11"/>
          </w:rPr>
          <w:t>Pág. 2 de 2</w:t>
        </w:r>
      </w:hyperlink>
    </w:p>
    <w:sectPr>
      <w:type w:val="nextPage"/>
      <w:pgSz w:w="11906" w:h="16838"/>
      <w:pgMar w:left="760" w:right="460" w:header="0" w:top="1358" w:footer="0" w:bottom="0" w:gutter="0"/>
      <w:pgNumType w:fmt="decimal"/>
      <w:cols w:num="2" w:equalWidth="false" w:sep="false">
        <w:col w:w="980" w:space="720"/>
        <w:col w:w="8985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Arial" w:eastAsiaTheme="minorEastAsia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" w:cs="Arial" w:eastAsiaTheme="minorEastAsia"/>
      <w:color w:val="auto"/>
      <w:kern w:val="0"/>
      <w:sz w:val="22"/>
      <w:szCs w:val="22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rtagena.sedipualba.es/firma/infofirmante.aspx?idFirmante=3568086&amp;csv=H2AAH4QXMAN9FJ7NTKXT" TargetMode="External"/><Relationship Id="rId3" Type="http://schemas.openxmlformats.org/officeDocument/2006/relationships/hyperlink" Target="https://cartagena.sedipualba.es/firma/infofirmante.aspx?idFirmante=3568086&amp;csv=H2AAH4QXMAN9FJ7NTKXT" TargetMode="External"/><Relationship Id="rId4" Type="http://schemas.openxmlformats.org/officeDocument/2006/relationships/hyperlink" Target="https://cartagena.sedipualba.es/firma/infofirmante.aspx?idFirmante=3568086&amp;csv=H2AAH4QXMAN9FJ7NTKXT" TargetMode="External"/><Relationship Id="rId5" Type="http://schemas.openxmlformats.org/officeDocument/2006/relationships/hyperlink" Target="https://cartagena.sedipualba.es/firma/infofirmante.aspx?idFirmante=3568086&amp;csv=H2AAH4QXMAN9FJ7NTKXT" TargetMode="External"/><Relationship Id="rId6" Type="http://schemas.openxmlformats.org/officeDocument/2006/relationships/hyperlink" Target="https://cartagena.sedipualba.es/firma/infofirmante.aspx?idFirmante=3568086&amp;csv=H2AAH4QXMAN9FJ7NTKXT" TargetMode="External"/><Relationship Id="rId7" Type="http://schemas.openxmlformats.org/officeDocument/2006/relationships/hyperlink" Target="https://cartagena.sedipualba.es/firma/infofirmante.aspx?idFirmante=3568086&amp;csv=H2AAH4QXMAN9FJ7NTKXT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cartagena.sedipualba.es/firma/infocsv.aspx?csv=H2AAH4QXMAN9FJ7NTKXT" TargetMode="External"/><Relationship Id="rId10" Type="http://schemas.openxmlformats.org/officeDocument/2006/relationships/hyperlink" Target="https://cartagena.sedipualba.es/firma/infocsv.aspx?csv=H2AAH4QXMAN9FJ7NTKXT" TargetMode="External"/><Relationship Id="rId11" Type="http://schemas.openxmlformats.org/officeDocument/2006/relationships/hyperlink" Target="https://cartagena.sedipualba.es/firma/infocsv.aspx?csv=H2AAH4QXMAN9FJ7NTKXT" TargetMode="External"/><Relationship Id="rId12" Type="http://schemas.openxmlformats.org/officeDocument/2006/relationships/hyperlink" Target="https://cartagena.sedipualba.es/firma/infocsv.aspx?csv=H2AAH4QXMAN9FJ7NTKXT" TargetMode="External"/><Relationship Id="rId13" Type="http://schemas.openxmlformats.org/officeDocument/2006/relationships/hyperlink" Target="https://cartagena.sedipualba.es/firma/infocsv.aspx?csv=H2AAH4QXMAN9FJ7NTKXT" TargetMode="External"/><Relationship Id="rId14" Type="http://schemas.openxmlformats.org/officeDocument/2006/relationships/hyperlink" Target="https://cartagena.sedipualba.es/firma/infofirmante.aspx?idFirmante=3568086&amp;csv=H2AAH4QXMAN9FJ7NTKXT" TargetMode="External"/><Relationship Id="rId15" Type="http://schemas.openxmlformats.org/officeDocument/2006/relationships/hyperlink" Target="https://cartagena.sedipualba.es/firma/infofirmante.aspx?idFirmante=3568086&amp;csv=H2AAH4QXMAN9FJ7NTKXT" TargetMode="External"/><Relationship Id="rId16" Type="http://schemas.openxmlformats.org/officeDocument/2006/relationships/hyperlink" Target="https://cartagena.sedipualba.es/firma/infofirmante.aspx?idFirmante=3568086&amp;csv=H2AAH4QXMAN9FJ7NTKXT" TargetMode="External"/><Relationship Id="rId17" Type="http://schemas.openxmlformats.org/officeDocument/2006/relationships/hyperlink" Target="https://cartagena.sedipualba.es/firma/infofirmante.aspx?idFirmante=3568086&amp;csv=H2AAH4QXMAN9FJ7NTKXT" TargetMode="External"/><Relationship Id="rId18" Type="http://schemas.openxmlformats.org/officeDocument/2006/relationships/hyperlink" Target="https://cartagena.sedipualba.es/firma/infofirmante.aspx?idFirmante=3568086&amp;csv=H2AAH4QXMAN9FJ7NTKXT" TargetMode="External"/><Relationship Id="rId19" Type="http://schemas.openxmlformats.org/officeDocument/2006/relationships/hyperlink" Target="https://cartagena.sedipualba.es/firma/infofirmante.aspx?idFirmante=3568086&amp;csv=H2AAH4QXMAN9FJ7NTKXT" TargetMode="External"/><Relationship Id="rId20" Type="http://schemas.openxmlformats.org/officeDocument/2006/relationships/hyperlink" Target="https://cartagena.sedipualba.es/firma/infocsv.aspx?csv=H2AAH4QXMAN9FJ7NTKXT" TargetMode="External"/><Relationship Id="rId21" Type="http://schemas.openxmlformats.org/officeDocument/2006/relationships/hyperlink" Target="https://cartagena.sedipualba.es/firma/infocsv.aspx?csv=H2AAH4QXMAN9FJ7NTKXT" TargetMode="External"/><Relationship Id="rId22" Type="http://schemas.openxmlformats.org/officeDocument/2006/relationships/hyperlink" Target="https://cartagena.sedipualba.es/firma/infocsv.aspx?csv=H2AAH4QXMAN9FJ7NTKXT" TargetMode="External"/><Relationship Id="rId23" Type="http://schemas.openxmlformats.org/officeDocument/2006/relationships/hyperlink" Target="https://cartagena.sedipualba.es/firma/infocsv.aspx?csv=H2AAH4QXMAN9FJ7NTKXT" TargetMode="External"/><Relationship Id="rId24" Type="http://schemas.openxmlformats.org/officeDocument/2006/relationships/hyperlink" Target="https://cartagena.sedipualba.es/firma/infocsv.aspx?csv=H2AAH4QXMAN9FJ7NTKXT" TargetMode="External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LibreOffice/7.1.2.2$Windows_X86_64 LibreOffice_project/8a45595d069ef5570103caea1b71cc9d82b2aae4</Application>
  <AppVersion>15.0000</AppVersion>
  <Pages>2</Pages>
  <Words>477</Words>
  <Characters>2661</Characters>
  <CharactersWithSpaces>3100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2022-11-21T08:22:29Z</dcterms:created>
  <dc:creator>Windows User</dc:creator>
  <dc:description/>
  <dc:language>es-ES</dc:language>
  <cp:lastModifiedBy/>
  <dcterms:modified xsi:type="dcterms:W3CDTF">2023-03-14T13:25:56Z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