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ahoma" w:hAnsi="Tahoma" w:eastAsia="Tahoma" w:cs="Tahoma"/>
          <w:color w:val="17365D"/>
          <w:sz w:val="12"/>
          <w:szCs w:val="12"/>
        </w:rPr>
      </w:pPr>
      <w:hyperlink r:id="rId2">
        <w:bookmarkStart w:id="0" w:name="page1"/>
        <w:bookmarkEnd w:id="0"/>
        <w:r>
          <w:rPr>
            <w:rFonts w:eastAsia="Tahoma" w:cs="Tahoma" w:ascii="Tahoma" w:hAnsi="Tahoma"/>
            <w:color w:val="17365D"/>
            <w:sz w:val="12"/>
            <w:szCs w:val="12"/>
          </w:rPr>
          <w:t>SELLO</w:t>
        </w:r>
      </w:hyperlink>
    </w:p>
    <w:p>
      <w:pPr>
        <w:pStyle w:val="Normal"/>
        <w:spacing w:lineRule="exact" w:line="88" w:before="0" w:after="0"/>
        <w:rPr>
          <w:color w:val="auto"/>
          <w:sz w:val="24"/>
          <w:szCs w:val="24"/>
        </w:rPr>
      </w:pPr>
      <w:r>
        <w:rPr>
          <w:color w:val="auto"/>
          <w:sz w:val="24"/>
          <w:szCs w:val="24"/>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43"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3">
              <w:r>
                <w:rPr>
                  <w:rFonts w:eastAsia="Tahoma" w:cs="Tahoma" w:ascii="Tahoma" w:hAnsi="Tahoma"/>
                  <w:color w:val="17365D"/>
                  <w:w w:val="99"/>
                  <w:sz w:val="12"/>
                  <w:szCs w:val="12"/>
                </w:rPr>
                <w:t>el 21/03/2023</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8"/>
                <w:sz w:val="12"/>
                <w:szCs w:val="12"/>
              </w:rPr>
            </w:pPr>
            <w:hyperlink r:id="rId4">
              <w:r>
                <w:rPr>
                  <w:rFonts w:eastAsia="Tahoma" w:cs="Tahoma" w:ascii="Tahoma" w:hAnsi="Tahoma"/>
                  <w:color w:val="17365D"/>
                  <w:w w:val="98"/>
                  <w:sz w:val="12"/>
                  <w:szCs w:val="12"/>
                </w:rPr>
                <w:t>40628 / 2023</w:t>
              </w:r>
            </w:hyperlink>
          </w:p>
        </w:tc>
      </w:tr>
      <w:tr>
        <w:trPr>
          <w:trHeight w:val="600"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5">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6">
              <w:r>
                <w:rPr>
                  <w:rFonts w:eastAsia="Tahoma" w:cs="Tahoma" w:ascii="Tahoma" w:hAnsi="Tahoma"/>
                  <w:color w:val="17365D"/>
                  <w:sz w:val="12"/>
                  <w:szCs w:val="12"/>
                </w:rPr>
                <w:t>de entrada</w:t>
              </w:r>
            </w:hyperlink>
          </w:p>
        </w:tc>
      </w:tr>
      <w:tr>
        <w:trPr>
          <w:trHeight w:val="153" w:hRule="atLeast"/>
        </w:trPr>
        <w:tc>
          <w:tcPr>
            <w:tcW w:w="419" w:type="dxa"/>
            <w:tcBorders/>
            <w:vAlign w:val="bottom"/>
          </w:tcPr>
          <w:p>
            <w:pPr>
              <w:pStyle w:val="Normal"/>
              <w:widowControl w:val="false"/>
              <w:spacing w:before="0" w:after="0"/>
              <w:rPr>
                <w:color w:val="auto"/>
                <w:sz w:val="13"/>
                <w:szCs w:val="13"/>
              </w:rPr>
            </w:pPr>
            <w:r>
              <w:rPr>
                <w:color w:val="auto"/>
                <w:sz w:val="13"/>
                <w:szCs w:val="13"/>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7">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6" w:before="0" w:after="0"/>
        <w:rPr>
          <w:color w:val="auto"/>
          <w:sz w:val="20"/>
          <w:szCs w:val="20"/>
        </w:rPr>
      </w:pPr>
      <w:r>
        <w:rPr>
          <w:color w:val="auto"/>
          <w:sz w:val="20"/>
          <w:szCs w:val="20"/>
        </w:rPr>
      </w:r>
    </w:p>
    <w:p>
      <w:pPr>
        <w:pStyle w:val="Normal"/>
        <w:spacing w:before="0" w:after="0"/>
        <w:rPr>
          <w:color w:val="auto"/>
          <w:sz w:val="20"/>
          <w:szCs w:val="20"/>
        </w:rPr>
      </w:pPr>
      <w:r>
        <w:rPr>
          <w:rFonts w:eastAsia="Arial" w:cs="Arial" w:ascii="Arial" w:hAnsi="Arial"/>
          <w:color w:val="00000A"/>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3">
            <wp:simplePos x="0" y="0"/>
            <wp:positionH relativeFrom="column">
              <wp:posOffset>-636270</wp:posOffset>
            </wp:positionH>
            <wp:positionV relativeFrom="paragraph">
              <wp:posOffset>-1012825</wp:posOffset>
            </wp:positionV>
            <wp:extent cx="6346825" cy="1011618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8"/>
                    <a:stretch>
                      <a:fillRect/>
                    </a:stretch>
                  </pic:blipFill>
                  <pic:spPr bwMode="auto">
                    <a:xfrm>
                      <a:off x="0" y="0"/>
                      <a:ext cx="6346825" cy="10116185"/>
                    </a:xfrm>
                    <a:prstGeom prst="rect">
                      <a:avLst/>
                    </a:prstGeom>
                  </pic:spPr>
                </pic:pic>
              </a:graphicData>
            </a:graphic>
          </wp:anchor>
        </w:drawing>
      </w:r>
    </w:p>
    <w:p>
      <w:pPr>
        <w:pStyle w:val="Normal"/>
        <w:spacing w:lineRule="exact" w:line="297" w:before="0" w:after="0"/>
        <w:rPr>
          <w:color w:val="auto"/>
          <w:sz w:val="20"/>
          <w:szCs w:val="20"/>
        </w:rPr>
      </w:pPr>
      <w:r>
        <w:rPr>
          <w:color w:val="auto"/>
          <w:sz w:val="20"/>
          <w:szCs w:val="20"/>
        </w:rPr>
      </w:r>
    </w:p>
    <w:p>
      <w:pPr>
        <w:pStyle w:val="Normal"/>
        <w:spacing w:lineRule="auto" w:line="230" w:before="0" w:after="0"/>
        <w:ind w:right="520" w:hanging="0"/>
        <w:jc w:val="both"/>
        <w:rPr>
          <w:color w:val="auto"/>
          <w:sz w:val="20"/>
          <w:szCs w:val="20"/>
        </w:rPr>
      </w:pPr>
      <w:r>
        <w:rPr>
          <w:rFonts w:eastAsia="Arial" w:cs="Arial" w:ascii="Arial" w:hAnsi="Arial"/>
          <w:color w:val="00000A"/>
          <w:sz w:val="22"/>
          <w:szCs w:val="22"/>
        </w:rPr>
        <w:t>MOCIÓN QUE PRESENTA AURELIA GARCÍA MUÑOZ, PORTAVOZ DEL GRUPO MUNICIPAL UNIDAS PODEMOS IZQUIERDA UNIDA-VERDES EQUO, DEL EXCMO. AYUNTAMIENTO DE CARTAGENA, GRATUIDAD EN MUSEOS</w:t>
      </w:r>
    </w:p>
    <w:p>
      <w:pPr>
        <w:pStyle w:val="Normal"/>
        <w:spacing w:lineRule="exact" w:line="200" w:before="0" w:after="0"/>
        <w:rPr>
          <w:color w:val="auto"/>
          <w:sz w:val="20"/>
          <w:szCs w:val="20"/>
        </w:rPr>
      </w:pPr>
      <w:r>
        <w:rPr>
          <w:color w:val="auto"/>
          <w:sz w:val="20"/>
          <w:szCs w:val="20"/>
        </w:rPr>
      </w:r>
    </w:p>
    <w:p>
      <w:pPr>
        <w:pStyle w:val="Normal"/>
        <w:spacing w:lineRule="exact" w:line="331" w:before="0" w:after="0"/>
        <w:rPr>
          <w:color w:val="auto"/>
          <w:sz w:val="20"/>
          <w:szCs w:val="20"/>
        </w:rPr>
      </w:pPr>
      <w:r>
        <w:rPr>
          <w:color w:val="auto"/>
          <w:sz w:val="20"/>
          <w:szCs w:val="20"/>
        </w:rPr>
      </w:r>
    </w:p>
    <w:p>
      <w:pPr>
        <w:pStyle w:val="Normal"/>
        <w:spacing w:before="0" w:after="0"/>
        <w:ind w:left="500" w:hanging="0"/>
        <w:rPr>
          <w:color w:val="auto"/>
          <w:sz w:val="20"/>
          <w:szCs w:val="20"/>
        </w:rPr>
      </w:pPr>
      <w:r>
        <w:rPr>
          <w:rFonts w:eastAsia="Arial" w:cs="Arial" w:ascii="Arial" w:hAnsi="Arial"/>
          <w:color w:val="00000A"/>
          <w:sz w:val="22"/>
          <w:szCs w:val="22"/>
        </w:rPr>
        <w:t>EXPOSICIÓN DE MOTIVOS</w:t>
      </w:r>
    </w:p>
    <w:p>
      <w:pPr>
        <w:pStyle w:val="Normal"/>
        <w:spacing w:lineRule="exact" w:line="308" w:before="0" w:after="0"/>
        <w:rPr>
          <w:color w:val="auto"/>
          <w:sz w:val="20"/>
          <w:szCs w:val="20"/>
        </w:rPr>
      </w:pPr>
      <w:r>
        <w:rPr>
          <w:color w:val="auto"/>
          <w:sz w:val="20"/>
          <w:szCs w:val="20"/>
        </w:rPr>
      </w:r>
    </w:p>
    <w:p>
      <w:pPr>
        <w:pStyle w:val="Normal"/>
        <w:spacing w:lineRule="auto" w:line="235" w:before="0" w:after="0"/>
        <w:ind w:right="540" w:hanging="0"/>
        <w:jc w:val="both"/>
        <w:rPr>
          <w:color w:val="auto"/>
          <w:sz w:val="20"/>
          <w:szCs w:val="20"/>
        </w:rPr>
      </w:pPr>
      <w:r>
        <w:rPr>
          <w:rFonts w:eastAsia="Arial" w:cs="Arial" w:ascii="Arial" w:hAnsi="Arial"/>
          <w:color w:val="auto"/>
          <w:sz w:val="22"/>
          <w:szCs w:val="22"/>
        </w:rPr>
        <w:t>En agosto de 2022 el Consejo Internacional de Museos (ICOM) aprobó una nueva definición de museo. La votación es la culminación de un proceso participativo de 18 meses en el que han intervenido cientos de profesionales de museos de 126 Comités Nacionales de todo el mundo. El nuevo texto es el siguiente:</w:t>
      </w:r>
    </w:p>
    <w:p>
      <w:pPr>
        <w:pStyle w:val="Normal"/>
        <w:spacing w:lineRule="exact" w:line="308" w:before="0" w:after="0"/>
        <w:rPr>
          <w:color w:val="auto"/>
          <w:sz w:val="20"/>
          <w:szCs w:val="20"/>
        </w:rPr>
      </w:pPr>
      <w:r>
        <w:rPr>
          <w:color w:val="auto"/>
          <w:sz w:val="20"/>
          <w:szCs w:val="20"/>
        </w:rPr>
      </w:r>
    </w:p>
    <w:p>
      <w:pPr>
        <w:pStyle w:val="Normal"/>
        <w:spacing w:lineRule="auto" w:line="240" w:before="0" w:after="0"/>
        <w:ind w:right="520" w:hanging="0"/>
        <w:jc w:val="both"/>
        <w:rPr>
          <w:color w:val="auto"/>
          <w:sz w:val="20"/>
          <w:szCs w:val="20"/>
        </w:rPr>
      </w:pPr>
      <w:r>
        <w:rPr>
          <w:rFonts w:eastAsia="Arial" w:cs="Arial" w:ascii="Arial" w:hAnsi="Arial"/>
          <w:i/>
          <w:iCs/>
          <w:color w:val="00000A"/>
          <w:sz w:val="22"/>
          <w:szCs w:val="22"/>
        </w:rPr>
        <w:t>“</w:t>
      </w:r>
      <w:r>
        <w:rPr>
          <w:rFonts w:eastAsia="Arial" w:cs="Arial" w:ascii="Arial" w:hAnsi="Arial"/>
          <w:i/>
          <w:iCs/>
          <w:color w:val="00000A"/>
          <w:sz w:val="22"/>
          <w:szCs w:val="22"/>
        </w:rPr>
        <w:t>Un museo es una institución sin ánimo de lucro, permanente y al servicio de la sociedad, que investiga, colecciona, conserva, interpreta y exhibe el patrimonio material e inmaterial. Abiertos al público, accesibles e inclusivos, los museos fomentan la diversidad y la sostenibilidad. Con la participación de las comunidades, los museos operan y comunican ética y profesionalmente, ofreciendo experiencias variadas para la educación, el disfrute, la reflexión y el intercambio de conocimientos.”</w:t>
      </w:r>
    </w:p>
    <w:p>
      <w:pPr>
        <w:pStyle w:val="Normal"/>
        <w:spacing w:lineRule="exact" w:line="200" w:before="0" w:after="0"/>
        <w:rPr>
          <w:color w:val="auto"/>
          <w:sz w:val="20"/>
          <w:szCs w:val="20"/>
        </w:rPr>
      </w:pPr>
      <w:r>
        <w:rPr>
          <w:color w:val="auto"/>
          <w:sz w:val="20"/>
          <w:szCs w:val="20"/>
        </w:rPr>
      </w:r>
    </w:p>
    <w:p>
      <w:pPr>
        <w:pStyle w:val="Normal"/>
        <w:spacing w:lineRule="exact" w:line="364" w:before="0" w:after="0"/>
        <w:rPr>
          <w:color w:val="auto"/>
          <w:sz w:val="20"/>
          <w:szCs w:val="20"/>
        </w:rPr>
      </w:pPr>
      <w:r>
        <w:rPr>
          <w:color w:val="auto"/>
          <w:sz w:val="20"/>
          <w:szCs w:val="20"/>
        </w:rPr>
      </w:r>
    </w:p>
    <w:p>
      <w:pPr>
        <w:pStyle w:val="Normal"/>
        <w:spacing w:lineRule="auto" w:line="240" w:before="0" w:after="0"/>
        <w:ind w:right="520" w:hanging="0"/>
        <w:jc w:val="both"/>
        <w:rPr>
          <w:color w:val="auto"/>
          <w:sz w:val="20"/>
          <w:szCs w:val="20"/>
        </w:rPr>
      </w:pPr>
      <w:r>
        <w:rPr>
          <w:rFonts w:eastAsia="Arial" w:cs="Arial" w:ascii="Arial" w:hAnsi="Arial"/>
          <w:color w:val="auto"/>
          <w:sz w:val="22"/>
          <w:szCs w:val="22"/>
        </w:rPr>
        <w:t>El Servicio Nacional del Patrimonio Cultural y los museos que integran su red de instituciones ya han avanzado en este ámbito y han desarrollado instancias en el marco del nuevo enfoque que propone ICOM para esta definición, reafirmando el trabajo desarrollado por esta institución y reforzando las acciones que buscan aumentar la accesibilidad de estos espacios, la mejora en sus museografías y la convocatoria a los visitantes para participar en sus procesos educativos, entre otras iniciativas.</w:t>
      </w:r>
    </w:p>
    <w:p>
      <w:pPr>
        <w:pStyle w:val="Normal"/>
        <w:spacing w:lineRule="exact" w:line="307" w:before="0" w:after="0"/>
        <w:rPr>
          <w:color w:val="auto"/>
          <w:sz w:val="20"/>
          <w:szCs w:val="20"/>
        </w:rPr>
      </w:pPr>
      <w:r>
        <w:rPr>
          <w:color w:val="auto"/>
          <w:sz w:val="20"/>
          <w:szCs w:val="20"/>
        </w:rPr>
      </w:r>
    </w:p>
    <w:p>
      <w:pPr>
        <w:pStyle w:val="Normal"/>
        <w:spacing w:lineRule="auto" w:line="223" w:before="0" w:after="0"/>
        <w:ind w:right="540" w:hanging="0"/>
        <w:jc w:val="both"/>
        <w:rPr>
          <w:color w:val="auto"/>
          <w:sz w:val="20"/>
          <w:szCs w:val="20"/>
        </w:rPr>
      </w:pPr>
      <w:r>
        <w:rPr>
          <w:rFonts w:eastAsia="Arial" w:cs="Arial" w:ascii="Arial" w:hAnsi="Arial"/>
          <w:color w:val="auto"/>
          <w:sz w:val="22"/>
          <w:szCs w:val="22"/>
        </w:rPr>
        <w:t>Esta nueva definición es acorde al siglo XXI conteniendo términos como accesibilidad, inclusivo, diversidad, sostenibilidad y ética.</w:t>
      </w:r>
    </w:p>
    <w:p>
      <w:pPr>
        <w:pStyle w:val="Normal"/>
        <w:spacing w:lineRule="exact" w:line="9" w:before="0" w:after="0"/>
        <w:rPr>
          <w:color w:val="auto"/>
          <w:sz w:val="20"/>
          <w:szCs w:val="20"/>
        </w:rPr>
      </w:pPr>
      <w:r>
        <w:rPr>
          <w:color w:val="auto"/>
          <w:sz w:val="20"/>
          <w:szCs w:val="20"/>
        </w:rPr>
      </w:r>
    </w:p>
    <w:p>
      <w:pPr>
        <w:pStyle w:val="Normal"/>
        <w:spacing w:before="0" w:after="0"/>
        <w:rPr>
          <w:color w:val="auto"/>
          <w:sz w:val="20"/>
          <w:szCs w:val="20"/>
        </w:rPr>
      </w:pPr>
      <w:r>
        <w:rPr>
          <w:rFonts w:eastAsia="Arial" w:cs="Arial" w:ascii="Arial" w:hAnsi="Arial"/>
          <w:color w:val="auto"/>
          <w:sz w:val="22"/>
          <w:szCs w:val="22"/>
        </w:rPr>
        <w:t>Por  otra  parte,  la  legislación  española,  concretamente  la  Ley  16/1985  de</w:t>
      </w:r>
    </w:p>
    <w:p>
      <w:pPr>
        <w:pStyle w:val="Normal"/>
        <w:spacing w:lineRule="exact" w:line="8" w:before="0" w:after="0"/>
        <w:rPr>
          <w:color w:val="auto"/>
          <w:sz w:val="20"/>
          <w:szCs w:val="20"/>
        </w:rPr>
      </w:pPr>
      <w:r>
        <w:rPr>
          <w:color w:val="auto"/>
          <w:sz w:val="20"/>
          <w:szCs w:val="20"/>
        </w:rPr>
      </w:r>
    </w:p>
    <w:p>
      <w:pPr>
        <w:pStyle w:val="Normal"/>
        <w:spacing w:before="0" w:after="0"/>
        <w:rPr>
          <w:color w:val="auto"/>
          <w:sz w:val="20"/>
          <w:szCs w:val="20"/>
        </w:rPr>
      </w:pPr>
      <w:r>
        <w:rPr>
          <w:rFonts w:eastAsia="Arial" w:cs="Arial" w:ascii="Arial" w:hAnsi="Arial"/>
          <w:color w:val="auto"/>
          <w:sz w:val="22"/>
          <w:szCs w:val="22"/>
        </w:rPr>
        <w:t>Patrimonio Histórico Español, en su Título Primero, Artículo 13, dice lo siguiente:</w:t>
      </w:r>
    </w:p>
    <w:p>
      <w:pPr>
        <w:pStyle w:val="Normal"/>
        <w:spacing w:lineRule="exact" w:line="307" w:before="0" w:after="0"/>
        <w:rPr>
          <w:color w:val="auto"/>
          <w:sz w:val="20"/>
          <w:szCs w:val="20"/>
        </w:rPr>
      </w:pPr>
      <w:r>
        <w:rPr>
          <w:color w:val="auto"/>
          <w:sz w:val="20"/>
          <w:szCs w:val="20"/>
        </w:rPr>
      </w:r>
    </w:p>
    <w:p>
      <w:pPr>
        <w:pStyle w:val="Normal"/>
        <w:spacing w:lineRule="auto" w:line="240" w:before="0" w:after="0"/>
        <w:ind w:right="540" w:firstLine="126"/>
        <w:jc w:val="both"/>
        <w:rPr>
          <w:color w:val="auto"/>
          <w:sz w:val="20"/>
          <w:szCs w:val="20"/>
        </w:rPr>
      </w:pPr>
      <w:r>
        <w:rPr>
          <w:rFonts w:eastAsia="Arial" w:cs="Arial" w:ascii="Arial" w:hAnsi="Arial"/>
          <w:i/>
          <w:iCs/>
          <w:color w:val="auto"/>
          <w:sz w:val="22"/>
          <w:szCs w:val="22"/>
        </w:rPr>
        <w:t>“</w:t>
      </w:r>
      <w:r>
        <w:rPr>
          <w:rFonts w:eastAsia="Arial" w:cs="Arial" w:ascii="Arial" w:hAnsi="Arial"/>
          <w:i/>
          <w:iCs/>
          <w:color w:val="auto"/>
          <w:sz w:val="22"/>
          <w:szCs w:val="22"/>
        </w:rPr>
        <w:t>los propietarios y, en su caso, los titulares de derechos reales sobre tales bienes o quienes los posean por cualquier título, están obligados a permitir y facilitar su inspección por parte de los Organismos competentes, su estudio a los investigadores, previa solicitud razonada de éstos, y su visita pública, en las condiciones de gratuidad que se determinen reglamentariamente, al menos cuatro días al mes, en días y horas previamente señalados. El cumplimiento de esta última obligación podrá ser dispensado total o parcialmente por la Administración competente cuando medie causa justificada. ..“</w:t>
      </w:r>
    </w:p>
    <w:p>
      <w:pPr>
        <w:pStyle w:val="Normal"/>
        <w:spacing w:lineRule="exact" w:line="306" w:before="0" w:after="0"/>
        <w:rPr>
          <w:color w:val="auto"/>
          <w:sz w:val="20"/>
          <w:szCs w:val="20"/>
        </w:rPr>
      </w:pPr>
      <w:r>
        <w:rPr>
          <w:color w:val="auto"/>
          <w:sz w:val="20"/>
          <w:szCs w:val="20"/>
        </w:rPr>
      </w:r>
    </w:p>
    <w:p>
      <w:pPr>
        <w:pStyle w:val="Normal"/>
        <w:spacing w:lineRule="auto" w:line="223" w:before="0" w:after="0"/>
        <w:ind w:right="540" w:hanging="0"/>
        <w:jc w:val="both"/>
        <w:rPr>
          <w:color w:val="auto"/>
          <w:sz w:val="20"/>
          <w:szCs w:val="20"/>
        </w:rPr>
      </w:pPr>
      <w:r>
        <w:rPr>
          <w:rFonts w:eastAsia="Arial" w:cs="Arial" w:ascii="Arial" w:hAnsi="Arial"/>
          <w:color w:val="00000A"/>
          <w:sz w:val="22"/>
          <w:szCs w:val="22"/>
        </w:rPr>
        <w:t>Relacionando la legislación actual con la nueva definición de Museo, proponemos en esta Moción, la gratuidad en todos los museos de Cartagena, incluyendo los</w:t>
      </w:r>
    </w:p>
    <w:p>
      <w:pPr>
        <w:pStyle w:val="Normal"/>
        <w:spacing w:lineRule="exact" w:line="333" w:before="0" w:after="0"/>
        <w:rPr>
          <w:color w:val="auto"/>
          <w:sz w:val="20"/>
          <w:szCs w:val="20"/>
        </w:rPr>
      </w:pPr>
      <w:r>
        <w:rPr>
          <w:color w:val="auto"/>
          <w:sz w:val="20"/>
          <w:szCs w:val="20"/>
        </w:rPr>
      </w:r>
    </w:p>
    <w:p>
      <w:pPr>
        <w:pStyle w:val="Normal"/>
        <w:spacing w:before="0" w:after="0"/>
        <w:ind w:left="1840" w:hanging="0"/>
        <w:rPr>
          <w:color w:val="auto"/>
          <w:sz w:val="20"/>
          <w:szCs w:val="20"/>
        </w:rPr>
      </w:pPr>
      <w:r>
        <w:rPr>
          <w:rFonts w:eastAsia="Arial" w:cs="Arial" w:ascii="Arial" w:hAnsi="Arial"/>
          <w:color w:val="00000A"/>
          <w:sz w:val="18"/>
          <w:szCs w:val="18"/>
        </w:rPr>
        <w:t>Excma. Sra. Alcaldesa del Ayuntamiento de Cartagena</w:t>
      </w:r>
    </w:p>
    <w:p>
      <w:pPr>
        <w:pStyle w:val="Normal"/>
        <w:spacing w:lineRule="exact" w:line="15"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00000A"/>
          <w:sz w:val="20"/>
          <w:szCs w:val="20"/>
        </w:rPr>
        <w:t>1</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0" w:before="0" w:after="0"/>
        <w:rPr>
          <w:color w:val="auto"/>
          <w:sz w:val="20"/>
          <w:szCs w:val="20"/>
        </w:rPr>
      </w:pPr>
      <w:r>
        <w:rPr>
          <w:color w:val="auto"/>
          <w:sz w:val="20"/>
          <w:szCs w:val="20"/>
        </w:rPr>
      </w:r>
    </w:p>
    <w:p>
      <w:pPr>
        <w:pStyle w:val="Normal"/>
        <w:tabs>
          <w:tab w:val="clear" w:pos="720"/>
          <w:tab w:val="left" w:pos="4700" w:leader="none"/>
        </w:tabs>
        <w:spacing w:before="0" w:after="0"/>
        <w:ind w:left="180" w:hanging="0"/>
        <w:rPr>
          <w:rFonts w:ascii="Arial" w:hAnsi="Arial" w:eastAsia="Arial" w:cs="Arial"/>
          <w:b/>
          <w:b/>
          <w:bCs/>
          <w:color w:val="17365D"/>
          <w:sz w:val="13"/>
          <w:szCs w:val="13"/>
        </w:rPr>
      </w:pPr>
      <w:hyperlink r:id="rId9">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10">
        <w:r>
          <w:rPr>
            <w:rFonts w:eastAsia="Arial" w:cs="Arial" w:ascii="Arial" w:hAnsi="Arial"/>
            <w:b/>
            <w:bCs/>
            <w:color w:val="17365D"/>
            <w:sz w:val="13"/>
            <w:szCs w:val="13"/>
          </w:rPr>
          <w:t>Código Seguro de Verificación: H2AA KLLQ LVYX VDYE WZMA</w:t>
        </w:r>
      </w:hyperlink>
    </w:p>
    <w:p>
      <w:pPr>
        <w:pStyle w:val="Normal"/>
        <w:spacing w:lineRule="exact" w:line="273" w:before="0" w:after="0"/>
        <w:rPr>
          <w:color w:val="auto"/>
          <w:sz w:val="20"/>
          <w:szCs w:val="20"/>
        </w:rPr>
      </w:pPr>
      <w:r>
        <w:rPr>
          <w:color w:val="auto"/>
          <w:sz w:val="20"/>
          <w:szCs w:val="20"/>
        </w:rPr>
      </w:r>
    </w:p>
    <w:p>
      <w:pPr>
        <w:pStyle w:val="Normal"/>
        <w:spacing w:before="0" w:after="0"/>
        <w:ind w:left="180" w:hanging="0"/>
        <w:rPr>
          <w:rFonts w:ascii="Tahoma" w:hAnsi="Tahoma" w:eastAsia="Tahoma" w:cs="Tahoma"/>
          <w:b/>
          <w:b/>
          <w:bCs/>
          <w:color w:val="17365D"/>
          <w:sz w:val="16"/>
          <w:szCs w:val="16"/>
        </w:rPr>
      </w:pPr>
      <w:hyperlink r:id="rId11">
        <w:r>
          <w:rPr>
            <w:rFonts w:eastAsia="Tahoma" w:cs="Tahoma" w:ascii="Tahoma" w:hAnsi="Tahoma"/>
            <w:b/>
            <w:bCs/>
            <w:color w:val="17365D"/>
            <w:sz w:val="16"/>
            <w:szCs w:val="16"/>
          </w:rPr>
          <w:t>2023-03-21 Moción gratuidad de museos</w:t>
        </w:r>
      </w:hyperlink>
    </w:p>
    <w:p>
      <w:pPr>
        <w:pStyle w:val="Normal"/>
        <w:spacing w:lineRule="exact" w:line="248"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12">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13">
        <w:r>
          <w:rPr>
            <w:rFonts w:eastAsia="Tahoma" w:cs="Tahoma" w:ascii="Tahoma" w:hAnsi="Tahoma"/>
            <w:color w:val="17365D"/>
            <w:sz w:val="11"/>
            <w:szCs w:val="11"/>
          </w:rPr>
          <w:t>Pág. 1 de 2</w:t>
        </w:r>
      </w:hyperlink>
      <w:bookmarkStart w:id="1" w:name="page2"/>
      <w:bookmarkEnd w:id="1"/>
    </w:p>
    <w:p>
      <w:pPr>
        <w:sectPr>
          <w:type w:val="continuous"/>
          <w:pgSz w:w="11906" w:h="16838"/>
          <w:pgMar w:left="760" w:right="460" w:header="0" w:top="1358" w:footer="0" w:bottom="0" w:gutter="0"/>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14">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43"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5">
              <w:r>
                <w:rPr>
                  <w:rFonts w:eastAsia="Tahoma" w:cs="Tahoma" w:ascii="Tahoma" w:hAnsi="Tahoma"/>
                  <w:color w:val="17365D"/>
                  <w:w w:val="99"/>
                  <w:sz w:val="12"/>
                  <w:szCs w:val="12"/>
                </w:rPr>
                <w:t>el 21/03/2023</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8"/>
                <w:sz w:val="12"/>
                <w:szCs w:val="12"/>
              </w:rPr>
            </w:pPr>
            <w:hyperlink r:id="rId16">
              <w:r>
                <w:rPr>
                  <w:rFonts w:eastAsia="Tahoma" w:cs="Tahoma" w:ascii="Tahoma" w:hAnsi="Tahoma"/>
                  <w:color w:val="17365D"/>
                  <w:w w:val="98"/>
                  <w:sz w:val="12"/>
                  <w:szCs w:val="12"/>
                </w:rPr>
                <w:t>40628 / 2023</w:t>
              </w:r>
            </w:hyperlink>
          </w:p>
        </w:tc>
      </w:tr>
      <w:tr>
        <w:trPr>
          <w:trHeight w:val="600"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7">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18">
              <w:r>
                <w:rPr>
                  <w:rFonts w:eastAsia="Tahoma" w:cs="Tahoma" w:ascii="Tahoma" w:hAnsi="Tahoma"/>
                  <w:color w:val="17365D"/>
                  <w:sz w:val="12"/>
                  <w:szCs w:val="12"/>
                </w:rPr>
                <w:t>de entrada</w:t>
              </w:r>
            </w:hyperlink>
          </w:p>
        </w:tc>
      </w:tr>
      <w:tr>
        <w:trPr>
          <w:trHeight w:val="153" w:hRule="atLeast"/>
        </w:trPr>
        <w:tc>
          <w:tcPr>
            <w:tcW w:w="419" w:type="dxa"/>
            <w:tcBorders/>
            <w:vAlign w:val="bottom"/>
          </w:tcPr>
          <w:p>
            <w:pPr>
              <w:pStyle w:val="Normal"/>
              <w:widowControl w:val="false"/>
              <w:spacing w:before="0" w:after="0"/>
              <w:rPr>
                <w:color w:val="auto"/>
                <w:sz w:val="13"/>
                <w:szCs w:val="13"/>
              </w:rPr>
            </w:pPr>
            <w:r>
              <w:rPr>
                <w:color w:val="auto"/>
                <w:sz w:val="13"/>
                <w:szCs w:val="13"/>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19">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6" w:before="0" w:after="0"/>
        <w:rPr>
          <w:color w:val="auto"/>
          <w:sz w:val="20"/>
          <w:szCs w:val="20"/>
        </w:rPr>
      </w:pPr>
      <w:r>
        <w:rPr>
          <w:color w:val="auto"/>
          <w:sz w:val="20"/>
          <w:szCs w:val="20"/>
        </w:rPr>
      </w:r>
    </w:p>
    <w:p>
      <w:pPr>
        <w:pStyle w:val="Normal"/>
        <w:spacing w:before="0" w:after="0"/>
        <w:rPr>
          <w:color w:val="auto"/>
          <w:sz w:val="20"/>
          <w:szCs w:val="20"/>
        </w:rPr>
      </w:pPr>
      <w:r>
        <w:rPr>
          <w:rFonts w:eastAsia="Arial" w:cs="Arial" w:ascii="Arial" w:hAnsi="Arial"/>
          <w:color w:val="00000A"/>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2">
            <wp:simplePos x="0" y="0"/>
            <wp:positionH relativeFrom="column">
              <wp:posOffset>-636270</wp:posOffset>
            </wp:positionH>
            <wp:positionV relativeFrom="paragraph">
              <wp:posOffset>-1012825</wp:posOffset>
            </wp:positionV>
            <wp:extent cx="6346825" cy="1011618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8"/>
                    <a:stretch>
                      <a:fillRect/>
                    </a:stretch>
                  </pic:blipFill>
                  <pic:spPr bwMode="auto">
                    <a:xfrm>
                      <a:off x="0" y="0"/>
                      <a:ext cx="6346825" cy="10116185"/>
                    </a:xfrm>
                    <a:prstGeom prst="rect">
                      <a:avLst/>
                    </a:prstGeom>
                  </pic:spPr>
                </pic:pic>
              </a:graphicData>
            </a:graphic>
          </wp:anchor>
        </w:drawing>
      </w:r>
    </w:p>
    <w:p>
      <w:pPr>
        <w:pStyle w:val="Normal"/>
        <w:spacing w:lineRule="exact" w:line="297" w:before="0" w:after="0"/>
        <w:rPr>
          <w:color w:val="auto"/>
          <w:sz w:val="20"/>
          <w:szCs w:val="20"/>
        </w:rPr>
      </w:pPr>
      <w:r>
        <w:rPr>
          <w:color w:val="auto"/>
          <w:sz w:val="20"/>
          <w:szCs w:val="20"/>
        </w:rPr>
      </w:r>
    </w:p>
    <w:p>
      <w:pPr>
        <w:pStyle w:val="Normal"/>
        <w:spacing w:lineRule="auto" w:line="237" w:before="0" w:after="0"/>
        <w:ind w:right="540" w:hanging="0"/>
        <w:jc w:val="both"/>
        <w:rPr>
          <w:color w:val="auto"/>
          <w:sz w:val="20"/>
          <w:szCs w:val="20"/>
        </w:rPr>
      </w:pPr>
      <w:r>
        <w:rPr>
          <w:rFonts w:eastAsia="Arial" w:cs="Arial" w:ascii="Arial" w:hAnsi="Arial"/>
          <w:color w:val="00000A"/>
          <w:sz w:val="22"/>
          <w:szCs w:val="22"/>
        </w:rPr>
        <w:t>gestionados por Puerto de Culturas, aprovechamos para pedir de nuevo su disolución y recordamos aquel informe de Intervención respecto de la Aprobación de la Cuenta General de 2019, en el que ponía de manifiesto la inutilidad de la figura del</w:t>
      </w:r>
      <w:r>
        <w:rPr>
          <w:rFonts w:eastAsia="Arial" w:cs="Arial" w:ascii="Arial" w:hAnsi="Arial"/>
          <w:color w:val="000000"/>
          <w:sz w:val="22"/>
          <w:szCs w:val="22"/>
        </w:rPr>
        <w:t xml:space="preserve"> Consorcio </w:t>
      </w:r>
      <w:r>
        <w:rPr>
          <w:rFonts w:eastAsia="Arial" w:cs="Arial" w:ascii="Arial" w:hAnsi="Arial"/>
          <w:i/>
          <w:iCs/>
          <w:color w:val="000000"/>
          <w:sz w:val="22"/>
          <w:szCs w:val="22"/>
        </w:rPr>
        <w:t>Puerto de Culturas</w:t>
      </w:r>
      <w:r>
        <w:rPr>
          <w:rFonts w:eastAsia="Arial" w:cs="Arial" w:ascii="Arial" w:hAnsi="Arial"/>
          <w:color w:val="000000"/>
          <w:sz w:val="22"/>
          <w:szCs w:val="22"/>
        </w:rPr>
        <w:t>, puesto que la Comunidad</w:t>
      </w:r>
      <w:r>
        <w:rPr>
          <w:rFonts w:eastAsia="Arial" w:cs="Arial" w:ascii="Arial" w:hAnsi="Arial"/>
          <w:color w:val="00000A"/>
          <w:sz w:val="22"/>
          <w:szCs w:val="22"/>
        </w:rPr>
        <w:t xml:space="preserve"> </w:t>
      </w:r>
      <w:r>
        <w:rPr>
          <w:rFonts w:eastAsia="Arial" w:cs="Arial" w:ascii="Arial" w:hAnsi="Arial"/>
          <w:color w:val="000000"/>
          <w:sz w:val="22"/>
          <w:szCs w:val="22"/>
        </w:rPr>
        <w:t>Autónoma lo había abandonado y no aportaba dinero a dicha mercantil.</w:t>
      </w:r>
    </w:p>
    <w:p>
      <w:pPr>
        <w:pStyle w:val="Normal"/>
        <w:spacing w:lineRule="exact" w:line="49" w:before="0" w:after="0"/>
        <w:rPr>
          <w:color w:val="auto"/>
          <w:sz w:val="20"/>
          <w:szCs w:val="20"/>
        </w:rPr>
      </w:pPr>
      <w:r>
        <w:rPr>
          <w:color w:val="auto"/>
          <w:sz w:val="20"/>
          <w:szCs w:val="20"/>
        </w:rPr>
      </w:r>
    </w:p>
    <w:p>
      <w:pPr>
        <w:pStyle w:val="Normal"/>
        <w:spacing w:lineRule="auto" w:line="223" w:before="0" w:after="0"/>
        <w:ind w:right="540" w:hanging="0"/>
        <w:jc w:val="both"/>
        <w:rPr>
          <w:color w:val="auto"/>
          <w:sz w:val="20"/>
          <w:szCs w:val="20"/>
        </w:rPr>
      </w:pPr>
      <w:r>
        <w:rPr>
          <w:rFonts w:eastAsia="Arial" w:cs="Arial" w:ascii="Arial" w:hAnsi="Arial"/>
          <w:color w:val="auto"/>
          <w:sz w:val="22"/>
          <w:szCs w:val="22"/>
        </w:rPr>
        <w:t>En cualquier caso, por poner un ejemplo, el Museo del Teatro Romano es gratuito 3 días al año, lo que está muy lejos de los 4 días al mes.</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93" w:before="0" w:after="0"/>
        <w:rPr>
          <w:color w:val="auto"/>
          <w:sz w:val="20"/>
          <w:szCs w:val="20"/>
        </w:rPr>
      </w:pPr>
      <w:r>
        <w:rPr>
          <w:color w:val="auto"/>
          <w:sz w:val="20"/>
          <w:szCs w:val="20"/>
        </w:rPr>
      </w:r>
    </w:p>
    <w:p>
      <w:pPr>
        <w:pStyle w:val="Normal"/>
        <w:spacing w:lineRule="auto" w:line="223" w:before="0" w:after="0"/>
        <w:ind w:right="540" w:hanging="0"/>
        <w:jc w:val="both"/>
        <w:rPr>
          <w:color w:val="auto"/>
          <w:sz w:val="20"/>
          <w:szCs w:val="20"/>
        </w:rPr>
      </w:pPr>
      <w:r>
        <w:rPr>
          <w:rFonts w:eastAsia="Arial" w:cs="Arial" w:ascii="Arial" w:hAnsi="Arial"/>
          <w:color w:val="auto"/>
          <w:sz w:val="22"/>
          <w:szCs w:val="22"/>
        </w:rPr>
        <w:t>Por todo lo expuesto presento para su debate y aprobación la siguiente propuesta de MOCIÓN:</w:t>
      </w:r>
    </w:p>
    <w:p>
      <w:pPr>
        <w:pStyle w:val="Normal"/>
        <w:spacing w:lineRule="exact" w:line="308" w:before="0" w:after="0"/>
        <w:rPr>
          <w:color w:val="auto"/>
          <w:sz w:val="20"/>
          <w:szCs w:val="20"/>
        </w:rPr>
      </w:pPr>
      <w:r>
        <w:rPr>
          <w:color w:val="auto"/>
          <w:sz w:val="20"/>
          <w:szCs w:val="20"/>
        </w:rPr>
      </w:r>
    </w:p>
    <w:p>
      <w:pPr>
        <w:pStyle w:val="Normal"/>
        <w:spacing w:before="0" w:after="0"/>
        <w:ind w:right="540" w:hanging="0"/>
        <w:jc w:val="both"/>
        <w:rPr>
          <w:color w:val="auto"/>
          <w:sz w:val="20"/>
          <w:szCs w:val="20"/>
        </w:rPr>
      </w:pPr>
      <w:r>
        <w:rPr>
          <w:rFonts w:eastAsia="Arial" w:cs="Arial" w:ascii="Arial" w:hAnsi="Arial"/>
          <w:color w:val="auto"/>
          <w:sz w:val="22"/>
          <w:szCs w:val="22"/>
        </w:rPr>
        <w:t>1- Qué el Pleno del Ayuntamiento de Cartagena inste al Gobierno Local a gestionar la apertura gratuita cumpliendo el mínimo exigido por la ley nacional de patrimonio de todos los museos de Cartagena con el objeto de dar cumplimiento a la Ley 16/1985 sobre Patrimonio Histórico Español y como apoyo a la nueva definición de Museo del ICOM que resalta a los museos como “institución sin ánimo de lucro, permanente y al servicio de la sociedad”</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83" w:before="0" w:after="0"/>
        <w:rPr>
          <w:color w:val="auto"/>
          <w:sz w:val="20"/>
          <w:szCs w:val="20"/>
        </w:rPr>
      </w:pPr>
      <w:r>
        <w:rPr>
          <w:color w:val="auto"/>
          <w:sz w:val="20"/>
          <w:szCs w:val="20"/>
        </w:rPr>
      </w:r>
    </w:p>
    <w:p>
      <w:pPr>
        <w:pStyle w:val="Normal"/>
        <w:spacing w:before="0" w:after="0"/>
        <w:ind w:left="2280" w:hanging="0"/>
        <w:rPr>
          <w:color w:val="auto"/>
          <w:sz w:val="20"/>
          <w:szCs w:val="20"/>
        </w:rPr>
      </w:pPr>
      <w:r>
        <w:rPr>
          <w:rFonts w:eastAsia="Arial" w:cs="Arial" w:ascii="Arial" w:hAnsi="Arial"/>
          <w:color w:val="00000A"/>
          <w:sz w:val="22"/>
          <w:szCs w:val="22"/>
        </w:rPr>
        <w:t>En Cartagena, a 21 de marzo de 2023</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90" w:before="0" w:after="0"/>
        <w:rPr>
          <w:color w:val="auto"/>
          <w:sz w:val="20"/>
          <w:szCs w:val="20"/>
        </w:rPr>
      </w:pPr>
      <w:r>
        <w:rPr>
          <w:color w:val="auto"/>
          <w:sz w:val="20"/>
          <w:szCs w:val="20"/>
        </w:rPr>
      </w:r>
    </w:p>
    <w:p>
      <w:pPr>
        <w:pStyle w:val="Normal"/>
        <w:spacing w:before="0" w:after="0"/>
        <w:ind w:left="2820" w:hanging="0"/>
        <w:rPr>
          <w:color w:val="auto"/>
          <w:sz w:val="20"/>
          <w:szCs w:val="20"/>
        </w:rPr>
      </w:pPr>
      <w:r>
        <w:rPr>
          <w:rFonts w:eastAsia="Arial" w:cs="Arial" w:ascii="Arial" w:hAnsi="Arial"/>
          <w:color w:val="00000A"/>
          <w:sz w:val="22"/>
          <w:szCs w:val="22"/>
        </w:rPr>
        <w:t>Fdo.: Aurelia García Muñoz</w:t>
      </w:r>
    </w:p>
    <w:p>
      <w:pPr>
        <w:pStyle w:val="Normal"/>
        <w:spacing w:lineRule="exact" w:line="227" w:before="0" w:after="0"/>
        <w:rPr>
          <w:color w:val="auto"/>
          <w:sz w:val="20"/>
          <w:szCs w:val="20"/>
        </w:rPr>
      </w:pPr>
      <w:r>
        <w:rPr>
          <w:color w:val="auto"/>
          <w:sz w:val="20"/>
          <w:szCs w:val="20"/>
        </w:rPr>
      </w:r>
    </w:p>
    <w:p>
      <w:pPr>
        <w:pStyle w:val="Normal"/>
        <w:spacing w:before="0" w:after="0"/>
        <w:ind w:left="2600" w:hanging="0"/>
        <w:rPr>
          <w:color w:val="auto"/>
          <w:sz w:val="20"/>
          <w:szCs w:val="20"/>
        </w:rPr>
      </w:pPr>
      <w:r>
        <w:rPr>
          <w:rFonts w:eastAsia="Arial" w:cs="Arial" w:ascii="Arial" w:hAnsi="Arial"/>
          <w:color w:val="00000A"/>
          <w:sz w:val="22"/>
          <w:szCs w:val="22"/>
        </w:rPr>
        <w:t>Portavoz del Grupo Municipal</w:t>
      </w:r>
    </w:p>
    <w:p>
      <w:pPr>
        <w:pStyle w:val="Normal"/>
        <w:spacing w:lineRule="exact" w:line="229" w:before="0" w:after="0"/>
        <w:rPr>
          <w:color w:val="auto"/>
          <w:sz w:val="20"/>
          <w:szCs w:val="20"/>
        </w:rPr>
      </w:pPr>
      <w:r>
        <w:rPr>
          <w:color w:val="auto"/>
          <w:sz w:val="20"/>
          <w:szCs w:val="20"/>
        </w:rPr>
      </w:r>
    </w:p>
    <w:p>
      <w:pPr>
        <w:pStyle w:val="Normal"/>
        <w:spacing w:before="0" w:after="0"/>
        <w:ind w:left="1700" w:hanging="0"/>
        <w:rPr>
          <w:color w:val="auto"/>
          <w:sz w:val="20"/>
          <w:szCs w:val="20"/>
        </w:rPr>
      </w:pPr>
      <w:r>
        <w:rPr>
          <w:rFonts w:eastAsia="Arial" w:cs="Arial" w:ascii="Arial" w:hAnsi="Arial"/>
          <w:color w:val="00000A"/>
          <w:sz w:val="22"/>
          <w:szCs w:val="22"/>
        </w:rPr>
        <w:t>Unidas Podemos Izquierda Unida-Verdes Equo</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48" w:before="0" w:after="0"/>
        <w:rPr>
          <w:color w:val="auto"/>
          <w:sz w:val="20"/>
          <w:szCs w:val="20"/>
        </w:rPr>
      </w:pPr>
      <w:r>
        <w:rPr>
          <w:color w:val="auto"/>
          <w:sz w:val="20"/>
          <w:szCs w:val="20"/>
        </w:rPr>
      </w:r>
    </w:p>
    <w:p>
      <w:pPr>
        <w:pStyle w:val="Normal"/>
        <w:spacing w:before="0" w:after="0"/>
        <w:ind w:left="1840" w:hanging="0"/>
        <w:rPr>
          <w:color w:val="auto"/>
          <w:sz w:val="20"/>
          <w:szCs w:val="20"/>
        </w:rPr>
      </w:pPr>
      <w:r>
        <w:rPr>
          <w:rFonts w:eastAsia="Arial" w:cs="Arial" w:ascii="Arial" w:hAnsi="Arial"/>
          <w:color w:val="00000A"/>
          <w:sz w:val="18"/>
          <w:szCs w:val="18"/>
        </w:rPr>
        <w:t>Excma. Sra. Alcaldesa del Ayuntamiento de Cartagena</w:t>
      </w:r>
    </w:p>
    <w:p>
      <w:pPr>
        <w:pStyle w:val="Normal"/>
        <w:spacing w:lineRule="exact" w:line="15"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00000A"/>
          <w:sz w:val="20"/>
          <w:szCs w:val="20"/>
        </w:rPr>
        <w:t>2</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0" w:before="0" w:after="0"/>
        <w:rPr>
          <w:color w:val="auto"/>
          <w:sz w:val="20"/>
          <w:szCs w:val="20"/>
        </w:rPr>
      </w:pPr>
      <w:r>
        <w:rPr>
          <w:color w:val="auto"/>
          <w:sz w:val="20"/>
          <w:szCs w:val="20"/>
        </w:rPr>
      </w:r>
    </w:p>
    <w:p>
      <w:pPr>
        <w:pStyle w:val="Normal"/>
        <w:tabs>
          <w:tab w:val="clear" w:pos="720"/>
          <w:tab w:val="left" w:pos="4700" w:leader="none"/>
        </w:tabs>
        <w:spacing w:before="0" w:after="0"/>
        <w:ind w:left="180" w:hanging="0"/>
        <w:rPr>
          <w:rFonts w:ascii="Arial" w:hAnsi="Arial" w:eastAsia="Arial" w:cs="Arial"/>
          <w:b/>
          <w:b/>
          <w:bCs/>
          <w:color w:val="17365D"/>
          <w:sz w:val="13"/>
          <w:szCs w:val="13"/>
        </w:rPr>
      </w:pPr>
      <w:hyperlink r:id="rId20">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21">
        <w:r>
          <w:rPr>
            <w:rFonts w:eastAsia="Arial" w:cs="Arial" w:ascii="Arial" w:hAnsi="Arial"/>
            <w:b/>
            <w:bCs/>
            <w:color w:val="17365D"/>
            <w:sz w:val="13"/>
            <w:szCs w:val="13"/>
          </w:rPr>
          <w:t>Código Seguro de Verificación: H2AA KLLQ LVYX VDYE WZMA</w:t>
        </w:r>
      </w:hyperlink>
    </w:p>
    <w:p>
      <w:pPr>
        <w:pStyle w:val="Normal"/>
        <w:spacing w:lineRule="exact" w:line="273" w:before="0" w:after="0"/>
        <w:rPr>
          <w:color w:val="auto"/>
          <w:sz w:val="20"/>
          <w:szCs w:val="20"/>
        </w:rPr>
      </w:pPr>
      <w:r>
        <w:rPr>
          <w:color w:val="auto"/>
          <w:sz w:val="20"/>
          <w:szCs w:val="20"/>
        </w:rPr>
      </w:r>
    </w:p>
    <w:p>
      <w:pPr>
        <w:pStyle w:val="Normal"/>
        <w:spacing w:before="0" w:after="0"/>
        <w:ind w:left="180" w:hanging="0"/>
        <w:rPr>
          <w:rFonts w:ascii="Tahoma" w:hAnsi="Tahoma" w:eastAsia="Tahoma" w:cs="Tahoma"/>
          <w:b/>
          <w:b/>
          <w:bCs/>
          <w:color w:val="17365D"/>
          <w:sz w:val="16"/>
          <w:szCs w:val="16"/>
        </w:rPr>
      </w:pPr>
      <w:hyperlink r:id="rId22">
        <w:r>
          <w:rPr>
            <w:rFonts w:eastAsia="Tahoma" w:cs="Tahoma" w:ascii="Tahoma" w:hAnsi="Tahoma"/>
            <w:b/>
            <w:bCs/>
            <w:color w:val="17365D"/>
            <w:sz w:val="16"/>
            <w:szCs w:val="16"/>
          </w:rPr>
          <w:t>2023-03-21 Moción gratuidad de museos</w:t>
        </w:r>
      </w:hyperlink>
    </w:p>
    <w:p>
      <w:pPr>
        <w:pStyle w:val="Normal"/>
        <w:spacing w:lineRule="exact" w:line="248"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23">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24">
        <w:r>
          <w:rPr>
            <w:rFonts w:eastAsia="Tahoma" w:cs="Tahoma" w:ascii="Tahoma" w:hAnsi="Tahoma"/>
            <w:color w:val="17365D"/>
            <w:sz w:val="11"/>
            <w:szCs w:val="11"/>
          </w:rPr>
          <w:t>Pág. 2 de 2</w:t>
        </w:r>
      </w:hyperlink>
    </w:p>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Arial" w:eastAsiaTheme="minorEastAsia"/>
        <w:sz w:val="22"/>
        <w:szCs w:val="22"/>
        <w:lang w:val="es-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 w:cs="Arial" w:eastAsiaTheme="minorEastAsia"/>
      <w:color w:val="auto"/>
      <w:kern w:val="0"/>
      <w:sz w:val="22"/>
      <w:szCs w:val="22"/>
      <w:lang w:val="es-ES" w:eastAsia="zh-CN" w:bidi="hi-IN"/>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tagena.sedipualba.es/firma/infofirmante.aspx?idFirmante=4396394&amp;csv=H2AAKLLQLVYXVDYEWZMA" TargetMode="External"/><Relationship Id="rId3" Type="http://schemas.openxmlformats.org/officeDocument/2006/relationships/hyperlink" Target="https://cartagena.sedipualba.es/firma/infofirmante.aspx?idFirmante=4396394&amp;csv=H2AAKLLQLVYXVDYEWZMA" TargetMode="External"/><Relationship Id="rId4" Type="http://schemas.openxmlformats.org/officeDocument/2006/relationships/hyperlink" Target="https://cartagena.sedipualba.es/firma/infofirmante.aspx?idFirmante=4396394&amp;csv=H2AAKLLQLVYXVDYEWZMA" TargetMode="External"/><Relationship Id="rId5" Type="http://schemas.openxmlformats.org/officeDocument/2006/relationships/hyperlink" Target="https://cartagena.sedipualba.es/firma/infofirmante.aspx?idFirmante=4396394&amp;csv=H2AAKLLQLVYXVDYEWZMA" TargetMode="External"/><Relationship Id="rId6" Type="http://schemas.openxmlformats.org/officeDocument/2006/relationships/hyperlink" Target="https://cartagena.sedipualba.es/firma/infofirmante.aspx?idFirmante=4396394&amp;csv=H2AAKLLQLVYXVDYEWZMA" TargetMode="External"/><Relationship Id="rId7" Type="http://schemas.openxmlformats.org/officeDocument/2006/relationships/hyperlink" Target="https://cartagena.sedipualba.es/firma/infofirmante.aspx?idFirmante=4396394&amp;csv=H2AAKLLQLVYXVDYEWZMA" TargetMode="External"/><Relationship Id="rId8" Type="http://schemas.openxmlformats.org/officeDocument/2006/relationships/image" Target="media/image1.png"/><Relationship Id="rId9" Type="http://schemas.openxmlformats.org/officeDocument/2006/relationships/hyperlink" Target="https://cartagena.sedipualba.es/firma/infocsv.aspx?csv=H2AAKLLQLVYXVDYEWZMA" TargetMode="External"/><Relationship Id="rId10" Type="http://schemas.openxmlformats.org/officeDocument/2006/relationships/hyperlink" Target="https://cartagena.sedipualba.es/firma/infocsv.aspx?csv=H2AAKLLQLVYXVDYEWZMA" TargetMode="External"/><Relationship Id="rId11" Type="http://schemas.openxmlformats.org/officeDocument/2006/relationships/hyperlink" Target="https://cartagena.sedipualba.es/firma/infocsv.aspx?csv=H2AAKLLQLVYXVDYEWZMA" TargetMode="External"/><Relationship Id="rId12" Type="http://schemas.openxmlformats.org/officeDocument/2006/relationships/hyperlink" Target="https://cartagena.sedipualba.es/firma/infocsv.aspx?csv=H2AAKLLQLVYXVDYEWZMA" TargetMode="External"/><Relationship Id="rId13" Type="http://schemas.openxmlformats.org/officeDocument/2006/relationships/hyperlink" Target="https://cartagena.sedipualba.es/firma/infocsv.aspx?csv=H2AAKLLQLVYXVDYEWZMA" TargetMode="External"/><Relationship Id="rId14" Type="http://schemas.openxmlformats.org/officeDocument/2006/relationships/hyperlink" Target="https://cartagena.sedipualba.es/firma/infofirmante.aspx?idFirmante=4396394&amp;csv=H2AAKLLQLVYXVDYEWZMA" TargetMode="External"/><Relationship Id="rId15" Type="http://schemas.openxmlformats.org/officeDocument/2006/relationships/hyperlink" Target="https://cartagena.sedipualba.es/firma/infofirmante.aspx?idFirmante=4396394&amp;csv=H2AAKLLQLVYXVDYEWZMA" TargetMode="External"/><Relationship Id="rId16" Type="http://schemas.openxmlformats.org/officeDocument/2006/relationships/hyperlink" Target="https://cartagena.sedipualba.es/firma/infofirmante.aspx?idFirmante=4396394&amp;csv=H2AAKLLQLVYXVDYEWZMA" TargetMode="External"/><Relationship Id="rId17" Type="http://schemas.openxmlformats.org/officeDocument/2006/relationships/hyperlink" Target="https://cartagena.sedipualba.es/firma/infofirmante.aspx?idFirmante=4396394&amp;csv=H2AAKLLQLVYXVDYEWZMA" TargetMode="External"/><Relationship Id="rId18" Type="http://schemas.openxmlformats.org/officeDocument/2006/relationships/hyperlink" Target="https://cartagena.sedipualba.es/firma/infofirmante.aspx?idFirmante=4396394&amp;csv=H2AAKLLQLVYXVDYEWZMA" TargetMode="External"/><Relationship Id="rId19" Type="http://schemas.openxmlformats.org/officeDocument/2006/relationships/hyperlink" Target="https://cartagena.sedipualba.es/firma/infofirmante.aspx?idFirmante=4396394&amp;csv=H2AAKLLQLVYXVDYEWZMA" TargetMode="External"/><Relationship Id="rId20" Type="http://schemas.openxmlformats.org/officeDocument/2006/relationships/hyperlink" Target="https://cartagena.sedipualba.es/firma/infocsv.aspx?csv=H2AAKLLQLVYXVDYEWZMA" TargetMode="External"/><Relationship Id="rId21" Type="http://schemas.openxmlformats.org/officeDocument/2006/relationships/hyperlink" Target="https://cartagena.sedipualba.es/firma/infocsv.aspx?csv=H2AAKLLQLVYXVDYEWZMA" TargetMode="External"/><Relationship Id="rId22" Type="http://schemas.openxmlformats.org/officeDocument/2006/relationships/hyperlink" Target="https://cartagena.sedipualba.es/firma/infocsv.aspx?csv=H2AAKLLQLVYXVDYEWZMA" TargetMode="External"/><Relationship Id="rId23" Type="http://schemas.openxmlformats.org/officeDocument/2006/relationships/hyperlink" Target="https://cartagena.sedipualba.es/firma/infocsv.aspx?csv=H2AAKLLQLVYXVDYEWZMA" TargetMode="External"/><Relationship Id="rId24" Type="http://schemas.openxmlformats.org/officeDocument/2006/relationships/hyperlink" Target="https://cartagena.sedipualba.es/firma/infocsv.aspx?csv=H2AAKLLQLVYXVDYEWZMA" TargetMode="Externa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LibreOffice/7.1.2.2$Windows_X86_64 LibreOffice_project/8a45595d069ef5570103caea1b71cc9d82b2aae4</Application>
  <AppVersion>15.0000</AppVersion>
  <Pages>5</Pages>
  <Words>702</Words>
  <Characters>3871</Characters>
  <CharactersWithSpaces>4541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2023-03-27T12:51:58Z</dcterms:created>
  <dc:creator>Windows User</dc:creator>
  <dc:description/>
  <dc:language>es-ES</dc:language>
  <cp:lastModifiedBy>Windows User</cp:lastModifiedBy>
  <dcterms:modified xsi:type="dcterms:W3CDTF">2023-03-27T12:51:58Z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