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17" w:rsidRDefault="00342603">
      <w:pPr>
        <w:spacing w:before="113" w:after="113"/>
        <w:rPr>
          <w:rFonts w:ascii="Liberation Sans" w:hAnsi="Liberation Sans" w:hint="eastAsia"/>
          <w:sz w:val="26"/>
          <w:szCs w:val="26"/>
        </w:rPr>
      </w:pPr>
      <w:bookmarkStart w:id="0" w:name="_GoBack"/>
      <w:bookmarkEnd w:id="0"/>
      <w:r>
        <w:rPr>
          <w:rFonts w:ascii="Liberation Sans" w:hAnsi="Liberation Sans"/>
          <w:noProof/>
          <w:sz w:val="26"/>
          <w:szCs w:val="26"/>
          <w:lang w:eastAsia="es-ES"/>
        </w:rPr>
        <w:drawing>
          <wp:anchor distT="0" distB="0" distL="0" distR="3175" simplePos="0" relativeHeight="2" behindDoc="0" locked="0" layoutInCell="1" allowOverlap="1">
            <wp:simplePos x="0" y="0"/>
            <wp:positionH relativeFrom="column">
              <wp:posOffset>28575</wp:posOffset>
            </wp:positionH>
            <wp:positionV relativeFrom="paragraph">
              <wp:posOffset>-264795</wp:posOffset>
            </wp:positionV>
            <wp:extent cx="911225" cy="1257300"/>
            <wp:effectExtent l="0" t="0" r="0" b="0"/>
            <wp:wrapSquare wrapText="larges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911225" cy="1257300"/>
                    </a:xfrm>
                    <a:prstGeom prst="rect">
                      <a:avLst/>
                    </a:prstGeom>
                  </pic:spPr>
                </pic:pic>
              </a:graphicData>
            </a:graphic>
          </wp:anchor>
        </w:drawing>
      </w:r>
      <w:r>
        <w:rPr>
          <w:rFonts w:ascii="Liberation Sans" w:hAnsi="Liberation Sans"/>
          <w:noProof/>
          <w:sz w:val="26"/>
          <w:szCs w:val="26"/>
          <w:lang w:eastAsia="es-ES"/>
        </w:rPr>
        <w:drawing>
          <wp:anchor distT="0" distB="0" distL="0" distR="0" simplePos="0" relativeHeight="3" behindDoc="0" locked="0" layoutInCell="1" allowOverlap="1">
            <wp:simplePos x="0" y="0"/>
            <wp:positionH relativeFrom="column">
              <wp:posOffset>4307205</wp:posOffset>
            </wp:positionH>
            <wp:positionV relativeFrom="paragraph">
              <wp:posOffset>-125095</wp:posOffset>
            </wp:positionV>
            <wp:extent cx="1435100" cy="102044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8"/>
                    <a:stretch>
                      <a:fillRect/>
                    </a:stretch>
                  </pic:blipFill>
                  <pic:spPr bwMode="auto">
                    <a:xfrm>
                      <a:off x="0" y="0"/>
                      <a:ext cx="1435100" cy="1020445"/>
                    </a:xfrm>
                    <a:prstGeom prst="rect">
                      <a:avLst/>
                    </a:prstGeom>
                  </pic:spPr>
                </pic:pic>
              </a:graphicData>
            </a:graphic>
          </wp:anchor>
        </w:drawing>
      </w:r>
    </w:p>
    <w:p w:rsidR="008A2817" w:rsidRDefault="008A2817">
      <w:pPr>
        <w:pStyle w:val="Textoindependiente"/>
        <w:spacing w:before="113" w:after="113"/>
        <w:jc w:val="both"/>
        <w:rPr>
          <w:rFonts w:ascii="Liberation Sans" w:hAnsi="Liberation Sans" w:hint="eastAsia"/>
          <w:sz w:val="26"/>
          <w:szCs w:val="26"/>
        </w:rPr>
      </w:pPr>
    </w:p>
    <w:p w:rsidR="008A2817" w:rsidRDefault="008A2817">
      <w:pPr>
        <w:pStyle w:val="Textoindependiente"/>
        <w:spacing w:before="113" w:after="113"/>
        <w:jc w:val="both"/>
        <w:rPr>
          <w:rFonts w:ascii="Liberation Sans" w:hAnsi="Liberation Sans" w:hint="eastAsia"/>
          <w:sz w:val="26"/>
          <w:szCs w:val="26"/>
        </w:rPr>
      </w:pPr>
    </w:p>
    <w:p w:rsidR="008A2817" w:rsidRDefault="008A2817">
      <w:pPr>
        <w:pStyle w:val="Textoindependiente"/>
        <w:spacing w:before="113" w:after="113"/>
        <w:jc w:val="both"/>
        <w:rPr>
          <w:rFonts w:ascii="Liberation Sans" w:hAnsi="Liberation Sans" w:hint="eastAsia"/>
          <w:sz w:val="26"/>
          <w:szCs w:val="26"/>
        </w:rPr>
      </w:pPr>
    </w:p>
    <w:p w:rsidR="008A2817" w:rsidRDefault="00342603">
      <w:pPr>
        <w:spacing w:before="142" w:after="142" w:line="276" w:lineRule="auto"/>
        <w:jc w:val="both"/>
      </w:pPr>
      <w:r>
        <w:rPr>
          <w:rFonts w:ascii="Liberation Sans Narrow" w:hAnsi="Liberation Sans Narrow" w:cs="Arial"/>
          <w:b/>
          <w:color w:val="000000"/>
          <w:sz w:val="26"/>
          <w:szCs w:val="26"/>
        </w:rPr>
        <w:t xml:space="preserve">MOCIÓN QUE PRESENTA GONZALO ABAD MUÑOZ, CONCEJAL </w:t>
      </w:r>
      <w:r>
        <w:rPr>
          <w:rFonts w:ascii="Liberation Sans Narrow" w:hAnsi="Liberation Sans Narrow" w:cs="Arial"/>
          <w:b/>
          <w:color w:val="000000"/>
          <w:sz w:val="26"/>
          <w:szCs w:val="26"/>
        </w:rPr>
        <w:t>DEL GRUPO MUNICIPAL VOX CARTAGENA</w:t>
      </w:r>
      <w:r>
        <w:rPr>
          <w:rFonts w:ascii="Liberation Sans Narrow" w:hAnsi="Liberation Sans Narrow" w:cs="Arial"/>
          <w:b/>
          <w:color w:val="000000"/>
          <w:sz w:val="26"/>
          <w:szCs w:val="26"/>
        </w:rPr>
        <w:t>, SOBRE "CONSULTA P</w:t>
      </w:r>
      <w:r>
        <w:rPr>
          <w:rFonts w:ascii="Liberation Sans Narrow" w:hAnsi="Liberation Sans Narrow" w:cs="Arial"/>
          <w:b/>
          <w:color w:val="000000"/>
          <w:sz w:val="26"/>
          <w:szCs w:val="26"/>
        </w:rPr>
        <w:t>OPULAR</w:t>
      </w:r>
      <w:r>
        <w:rPr>
          <w:rFonts w:ascii="Liberation Sans Narrow" w:hAnsi="Liberation Sans Narrow" w:cs="Arial"/>
          <w:b/>
          <w:color w:val="000000"/>
          <w:sz w:val="26"/>
          <w:szCs w:val="26"/>
        </w:rPr>
        <w:t xml:space="preserve"> PARA LA RECUPERACIÓN DE LA CATEDRAL DE </w:t>
      </w:r>
      <w:r>
        <w:rPr>
          <w:rFonts w:ascii="Liberation Sans Narrow" w:hAnsi="Liberation Sans Narrow" w:cs="Arial"/>
          <w:b/>
          <w:color w:val="000000"/>
          <w:sz w:val="26"/>
          <w:szCs w:val="26"/>
        </w:rPr>
        <w:t>CARTAGENA</w:t>
      </w:r>
      <w:r>
        <w:rPr>
          <w:rFonts w:ascii="Liberation Sans Narrow" w:hAnsi="Liberation Sans Narrow" w:cs="Arial"/>
          <w:b/>
          <w:bCs/>
          <w:color w:val="000000"/>
          <w:sz w:val="26"/>
          <w:szCs w:val="26"/>
        </w:rPr>
        <w:t>”</w:t>
      </w:r>
    </w:p>
    <w:p w:rsidR="008A2817" w:rsidRDefault="00342603">
      <w:pPr>
        <w:spacing w:before="313" w:after="313" w:line="276" w:lineRule="auto"/>
        <w:jc w:val="both"/>
        <w:rPr>
          <w:rFonts w:ascii="Liberation Sans Narrow" w:hAnsi="Liberation Sans Narrow" w:hint="eastAsia"/>
        </w:rPr>
      </w:pPr>
      <w:r>
        <w:rPr>
          <w:rFonts w:ascii="Liberation Sans Narrow" w:hAnsi="Liberation Sans Narrow" w:cs="Arial"/>
          <w:b/>
          <w:bCs/>
          <w:sz w:val="26"/>
          <w:szCs w:val="26"/>
        </w:rPr>
        <w:t>EXPOSICIÓN DE MOTIVOS</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xml:space="preserve">Desde hace muchos años es una demanda de los vecinos de Cartagena la </w:t>
      </w:r>
      <w:r>
        <w:rPr>
          <w:rFonts w:ascii="Liberation Sans Narrow" w:hAnsi="Liberation Sans Narrow"/>
          <w:sz w:val="26"/>
          <w:szCs w:val="26"/>
        </w:rPr>
        <w:t>recuperación de su Catedral, una demanda y un anhelo que no se está viendo correspondido por parte de las autoridades y administraciones responsables.</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La Catedral de Santa María la Mayor, o de Nuestra Señora de la Asunción, Catedral Antigua, o Catedral Vie</w:t>
      </w:r>
      <w:r>
        <w:rPr>
          <w:rFonts w:ascii="Liberation Sans Narrow" w:hAnsi="Liberation Sans Narrow"/>
          <w:sz w:val="26"/>
          <w:szCs w:val="26"/>
        </w:rPr>
        <w:t>ja, como a muchos les gusta llamarla, ha sido pasto del expolio y del abandono más absoluto por parte de su propietario, la Diócesis de Cartagena, al igual que por parte de todas las administraciones que han podido, pero no han querido, hacer algo por su r</w:t>
      </w:r>
      <w:r>
        <w:rPr>
          <w:rFonts w:ascii="Liberation Sans Narrow" w:hAnsi="Liberation Sans Narrow"/>
          <w:sz w:val="26"/>
          <w:szCs w:val="26"/>
        </w:rPr>
        <w:t>ecuperación.</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Tenemos en nuestra ciudad uno de los templos más antiguos de España y probablemente de Europa. de origen bizantino aunque, como muchos de los templos cristianos en España, con añadidos de casi todas las épocas y estilos.</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El deterioro y ruina d</w:t>
      </w:r>
      <w:r>
        <w:rPr>
          <w:rFonts w:ascii="Liberation Sans Narrow" w:hAnsi="Liberation Sans Narrow"/>
          <w:sz w:val="26"/>
          <w:szCs w:val="26"/>
        </w:rPr>
        <w:t>e nuestra Catedral se inició con los asaltos de algunas milicias locales y los bombardeos que tuvieron lugar al final de la Guerra Civil, que destruyeron una parte del ábside tras el altar mayor, mientras que el resto de la cubierta se ha ido cayendo por e</w:t>
      </w:r>
      <w:r>
        <w:rPr>
          <w:rFonts w:ascii="Liberation Sans Narrow" w:hAnsi="Liberation Sans Narrow"/>
          <w:sz w:val="26"/>
          <w:szCs w:val="26"/>
        </w:rPr>
        <w:t>l abandono y la falta de reparación, a lo que se han sumado el expolio y el vandalismo durante muchas décadas.</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Ahora parece que todos los partidos políticos y todos los sectores sociales se apuntan a reivindicar una restauración o recuperación del templo q</w:t>
      </w:r>
      <w:r>
        <w:rPr>
          <w:rFonts w:ascii="Liberation Sans Narrow" w:hAnsi="Liberation Sans Narrow"/>
          <w:sz w:val="26"/>
          <w:szCs w:val="26"/>
        </w:rPr>
        <w:t>ue desde años viene siendo reclamada por las asociaciones de vecinos como es la Plataforma Virgen de la Caridad con Pepita Muñoz, que en paz descanse, a la cabeza.</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xml:space="preserve">Desde julio de 2021 existe un Plan Director, redactado por el Arquitecto Juan de Dios de la </w:t>
      </w:r>
      <w:r>
        <w:rPr>
          <w:rFonts w:ascii="Liberation Sans Narrow" w:hAnsi="Liberation Sans Narrow"/>
          <w:sz w:val="26"/>
          <w:szCs w:val="26"/>
        </w:rPr>
        <w:t>Hoz Martínez, que constituye un exhaustivo estudio histórico, artístico, arquitectónico y arqueológico sobre lo que queda de la Catedral.</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Este Plan Director plantea tres posibles vías de recuperación o puesta en valor de la Catedral, que se corresponden co</w:t>
      </w:r>
      <w:r>
        <w:rPr>
          <w:rFonts w:ascii="Liberation Sans Narrow" w:hAnsi="Liberation Sans Narrow"/>
          <w:sz w:val="26"/>
          <w:szCs w:val="26"/>
        </w:rPr>
        <w:t>n diferentes opciones de restauración o conservación de monumentos en estado de ruina parcial, y que pueden resumirse brevemente como sigue:</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Las que suponen una mínima intervención, dirigidas a conservar el resto arquitectónico y dirigidas a un uso básic</w:t>
      </w:r>
      <w:r>
        <w:rPr>
          <w:rFonts w:ascii="Liberation Sans Narrow" w:hAnsi="Liberation Sans Narrow"/>
          <w:sz w:val="26"/>
          <w:szCs w:val="26"/>
        </w:rPr>
        <w:t>amente arqueológico.</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lastRenderedPageBreak/>
        <w:t>- Las que suponen una reconstrucción o recuperación parcial del inmueble, diferenciando más marcadamente o menos lo antiguo de lo moderno, y enfocadas mayormente a un uso cultural, como museo o centro de interpretación.</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Las que supon</w:t>
      </w:r>
      <w:r>
        <w:rPr>
          <w:rFonts w:ascii="Liberation Sans Narrow" w:hAnsi="Liberation Sans Narrow"/>
          <w:sz w:val="26"/>
          <w:szCs w:val="26"/>
        </w:rPr>
        <w:t>en una reconstrucción completa aportando todo aquello que se haya perdido y de lo cual haya testimonios o restos que permitan su levantamiento de nuevo, y orientadas a un uso principalmente religioso, que es el original.</w:t>
      </w:r>
    </w:p>
    <w:p w:rsidR="008A2817" w:rsidRDefault="00342603">
      <w:pPr>
        <w:pStyle w:val="Textoindependiente"/>
        <w:spacing w:before="142" w:after="142"/>
        <w:jc w:val="both"/>
      </w:pPr>
      <w:r>
        <w:rPr>
          <w:rFonts w:ascii="Liberation Sans Narrow" w:hAnsi="Liberation Sans Narrow"/>
          <w:sz w:val="26"/>
          <w:szCs w:val="26"/>
        </w:rPr>
        <w:t xml:space="preserve">En octubre del año pasado, la </w:t>
      </w:r>
      <w:r>
        <w:rPr>
          <w:rFonts w:ascii="Liberation Sans Narrow" w:hAnsi="Liberation Sans Narrow"/>
          <w:sz w:val="26"/>
          <w:szCs w:val="26"/>
        </w:rPr>
        <w:t xml:space="preserve">Vicealcaldesa anunciaba la celebración de un concurso de ideas para elegir el proyecto de recuperación de la Catedral, el cual se ha ido retrasando hasta el momento, y que será valorado por una comisión de expertos. No obstante, la Plataforma Virgen de la </w:t>
      </w:r>
      <w:r>
        <w:rPr>
          <w:rFonts w:ascii="Liberation Sans Narrow" w:hAnsi="Liberation Sans Narrow"/>
          <w:sz w:val="26"/>
          <w:szCs w:val="26"/>
        </w:rPr>
        <w:t>Caridad y otros colectivos vecinales han exigido en diversas ocasiones la participación popular en la toma de la decisión sobre el proyecto y destino definitivo del edificio, aspiración que seguramente es compartida por la mayoría de los vecinos de Cartage</w:t>
      </w:r>
      <w:r>
        <w:rPr>
          <w:rFonts w:ascii="Liberation Sans Narrow" w:hAnsi="Liberation Sans Narrow"/>
          <w:sz w:val="26"/>
          <w:szCs w:val="26"/>
        </w:rPr>
        <w:t xml:space="preserve">na. </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En opinión del que suscribe, y seguramente de la mayoría de los cartageneros y cartageneras, se debería dar la voz a los vecinos  sobre un asunto que importa a casi todos, y que forma parte de las reivindicaciones más arraigadas en el sentir de la ciu</w:t>
      </w:r>
      <w:r>
        <w:rPr>
          <w:rFonts w:ascii="Liberation Sans Narrow" w:hAnsi="Liberation Sans Narrow"/>
          <w:sz w:val="26"/>
          <w:szCs w:val="26"/>
        </w:rPr>
        <w:t>dad.</w:t>
      </w:r>
    </w:p>
    <w:p w:rsidR="008A2817" w:rsidRDefault="00342603">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El artículo 71 de la Ley Reguladora de las Bases de Régimen Local, establece la posibilidad de que los Alcaldes, previo acuerdo por mayoría absoluta del Pleno y autorización del Gobierno de la Nación, podrán someter a consulta popular aquellos asuntos</w:t>
      </w:r>
      <w:r>
        <w:rPr>
          <w:rFonts w:ascii="Liberation Sans Narrow" w:hAnsi="Liberation Sans Narrow"/>
          <w:sz w:val="26"/>
          <w:szCs w:val="26"/>
        </w:rPr>
        <w:t xml:space="preserve"> de la competencia propia municipal y de carácter local que sean de especial relevancia para los intereses de los vecinos, con excepción de los relativos a la Hacienda Local.</w:t>
      </w:r>
    </w:p>
    <w:p w:rsidR="008A2817" w:rsidRDefault="00342603">
      <w:pPr>
        <w:spacing w:before="142" w:after="142" w:line="276" w:lineRule="auto"/>
        <w:jc w:val="both"/>
        <w:rPr>
          <w:rFonts w:ascii="Liberation Sans Narrow" w:hAnsi="Liberation Sans Narrow" w:hint="eastAsia"/>
        </w:rPr>
      </w:pPr>
      <w:r>
        <w:rPr>
          <w:rFonts w:ascii="Liberation Sans Narrow" w:hAnsi="Liberation Sans Narrow" w:cs="Arial"/>
          <w:sz w:val="26"/>
          <w:szCs w:val="26"/>
        </w:rPr>
        <w:t>Por lo anteriormente expuesto, el concejal que suscribe presenta para su debate y</w:t>
      </w:r>
      <w:r>
        <w:rPr>
          <w:rFonts w:ascii="Liberation Sans Narrow" w:hAnsi="Liberation Sans Narrow" w:cs="Arial"/>
          <w:sz w:val="26"/>
          <w:szCs w:val="26"/>
        </w:rPr>
        <w:t xml:space="preserve"> aprobación en su caso la siguiente</w:t>
      </w:r>
    </w:p>
    <w:p w:rsidR="008A2817" w:rsidRDefault="00342603">
      <w:pPr>
        <w:spacing w:before="256" w:after="256" w:line="276" w:lineRule="auto"/>
        <w:jc w:val="center"/>
        <w:rPr>
          <w:rFonts w:ascii="Liberation Sans Narrow" w:hAnsi="Liberation Sans Narrow" w:hint="eastAsia"/>
        </w:rPr>
      </w:pPr>
      <w:r>
        <w:rPr>
          <w:rFonts w:ascii="Liberation Sans Narrow" w:hAnsi="Liberation Sans Narrow"/>
          <w:b/>
          <w:bCs/>
          <w:sz w:val="26"/>
          <w:szCs w:val="26"/>
        </w:rPr>
        <w:t>MOCIÓN</w:t>
      </w:r>
    </w:p>
    <w:p w:rsidR="008A2817" w:rsidRDefault="00342603">
      <w:pPr>
        <w:spacing w:before="142" w:after="142" w:line="276" w:lineRule="auto"/>
        <w:jc w:val="both"/>
        <w:rPr>
          <w:rFonts w:ascii="Liberation Sans Narrow" w:hAnsi="Liberation Sans Narrow" w:hint="eastAsia"/>
          <w:b/>
          <w:bCs/>
        </w:rPr>
      </w:pPr>
      <w:r>
        <w:rPr>
          <w:rFonts w:ascii="Liberation Sans Narrow" w:hAnsi="Liberation Sans Narrow"/>
          <w:b/>
          <w:bCs/>
        </w:rPr>
        <w:t xml:space="preserve">Instar al Gobierno local a que, previamente a la elección del proyecto de recuperación de la Catedral vieja de Cartagena, se lleve a cabo desde el Ayuntamiento una consulta popular acerca del tipo de restauración </w:t>
      </w:r>
      <w:r>
        <w:rPr>
          <w:rFonts w:ascii="Liberation Sans Narrow" w:hAnsi="Liberation Sans Narrow"/>
          <w:b/>
          <w:bCs/>
        </w:rPr>
        <w:t>y del futuro uso del edificio, sin descartar ninguna de las opciones, que deberían incluir la desde la simple conservación de las ruinas hasta su reconstrucción total y completa y su destino al culto.</w:t>
      </w:r>
    </w:p>
    <w:p w:rsidR="008A2817" w:rsidRDefault="008A2817">
      <w:pPr>
        <w:spacing w:before="142" w:after="142" w:line="276" w:lineRule="auto"/>
        <w:jc w:val="both"/>
        <w:rPr>
          <w:rFonts w:ascii="Liberation Sans Narrow" w:hAnsi="Liberation Sans Narrow" w:hint="eastAsia"/>
          <w:b/>
          <w:bCs/>
        </w:rPr>
      </w:pPr>
    </w:p>
    <w:tbl>
      <w:tblPr>
        <w:tblW w:w="9915" w:type="dxa"/>
        <w:tblInd w:w="-13" w:type="dxa"/>
        <w:tblCellMar>
          <w:top w:w="55" w:type="dxa"/>
          <w:left w:w="55" w:type="dxa"/>
          <w:bottom w:w="55" w:type="dxa"/>
          <w:right w:w="55" w:type="dxa"/>
        </w:tblCellMar>
        <w:tblLook w:val="0000" w:firstRow="0" w:lastRow="0" w:firstColumn="0" w:lastColumn="0" w:noHBand="0" w:noVBand="0"/>
      </w:tblPr>
      <w:tblGrid>
        <w:gridCol w:w="9300"/>
        <w:gridCol w:w="615"/>
      </w:tblGrid>
      <w:tr w:rsidR="008A2817">
        <w:trPr>
          <w:trHeight w:val="1650"/>
        </w:trPr>
        <w:tc>
          <w:tcPr>
            <w:tcW w:w="9300" w:type="dxa"/>
            <w:shd w:val="clear" w:color="auto" w:fill="auto"/>
          </w:tcPr>
          <w:p w:rsidR="008A2817" w:rsidRDefault="00342603">
            <w:pPr>
              <w:spacing w:before="113" w:after="113"/>
              <w:jc w:val="center"/>
            </w:pPr>
            <w:r>
              <w:rPr>
                <w:rFonts w:ascii="Liberation Sans Narrow" w:hAnsi="Liberation Sans Narrow" w:cs="Arial"/>
              </w:rPr>
              <w:t>Cartagena, 20</w:t>
            </w:r>
            <w:r>
              <w:rPr>
                <w:rFonts w:ascii="Liberation Sans Narrow" w:hAnsi="Liberation Sans Narrow" w:cs="Arial"/>
              </w:rPr>
              <w:t xml:space="preserve"> de abril </w:t>
            </w:r>
            <w:r>
              <w:rPr>
                <w:rFonts w:ascii="Liberation Sans Narrow" w:hAnsi="Liberation Sans Narrow" w:cs="Arial"/>
              </w:rPr>
              <w:t>de 2023</w:t>
            </w:r>
          </w:p>
          <w:p w:rsidR="008A2817" w:rsidRDefault="008A2817">
            <w:pPr>
              <w:pStyle w:val="Contenidodelatabla"/>
              <w:spacing w:before="113" w:after="113"/>
              <w:rPr>
                <w:rFonts w:ascii="Liberation Sans Narrow" w:hAnsi="Liberation Sans Narrow" w:hint="eastAsia"/>
              </w:rPr>
            </w:pPr>
          </w:p>
          <w:p w:rsidR="008A2817" w:rsidRDefault="008A2817">
            <w:pPr>
              <w:pStyle w:val="Contenidodelatabla"/>
              <w:spacing w:before="113" w:after="113"/>
              <w:rPr>
                <w:rFonts w:ascii="Liberation Sans Narrow" w:hAnsi="Liberation Sans Narrow" w:hint="eastAsia"/>
              </w:rPr>
            </w:pPr>
          </w:p>
          <w:p w:rsidR="008A2817" w:rsidRDefault="008A2817">
            <w:pPr>
              <w:pStyle w:val="Contenidodelatabla"/>
              <w:spacing w:before="113" w:after="113"/>
              <w:rPr>
                <w:rFonts w:ascii="Liberation Sans Narrow" w:hAnsi="Liberation Sans Narrow" w:hint="eastAsia"/>
              </w:rPr>
            </w:pPr>
          </w:p>
          <w:p w:rsidR="008A2817" w:rsidRDefault="00342603">
            <w:pPr>
              <w:pStyle w:val="Contenidodelatabla"/>
              <w:spacing w:before="113" w:after="113"/>
              <w:jc w:val="center"/>
            </w:pPr>
            <w:r>
              <w:rPr>
                <w:rFonts w:ascii="Liberation Sans Narrow" w:hAnsi="Liberation Sans Narrow"/>
              </w:rPr>
              <w:t xml:space="preserve">Fdo: Gonzalo Abad </w:t>
            </w:r>
            <w:r>
              <w:rPr>
                <w:rFonts w:ascii="Liberation Sans Narrow" w:hAnsi="Liberation Sans Narrow"/>
              </w:rPr>
              <w:t>Muñoz</w:t>
            </w:r>
          </w:p>
        </w:tc>
        <w:tc>
          <w:tcPr>
            <w:tcW w:w="615" w:type="dxa"/>
            <w:shd w:val="clear" w:color="auto" w:fill="auto"/>
          </w:tcPr>
          <w:p w:rsidR="008A2817" w:rsidRDefault="008A2817">
            <w:pPr>
              <w:pStyle w:val="Contenidodelatabla"/>
              <w:spacing w:before="113" w:after="113"/>
              <w:rPr>
                <w:rFonts w:ascii="Liberation Sans Narrow" w:hAnsi="Liberation Sans Narrow" w:hint="eastAsia"/>
              </w:rPr>
            </w:pPr>
          </w:p>
        </w:tc>
      </w:tr>
    </w:tbl>
    <w:p w:rsidR="008A2817" w:rsidRDefault="00342603">
      <w:pPr>
        <w:pStyle w:val="Textoindependiente"/>
        <w:spacing w:before="113" w:after="113"/>
        <w:jc w:val="center"/>
      </w:pPr>
      <w:r>
        <w:rPr>
          <w:rFonts w:ascii="Liberation Sans Narrow" w:hAnsi="Liberation Sans Narrow"/>
          <w:b/>
          <w:bCs/>
          <w:color w:val="000000"/>
        </w:rPr>
        <w:t>A LA ALCALDÍA – PRESIDENCIA DEL EXCMO. AYUNTAMIENTO DE CARTAGENA</w:t>
      </w:r>
    </w:p>
    <w:sectPr w:rsidR="008A2817">
      <w:footerReference w:type="default" r:id="rId9"/>
      <w:pgSz w:w="11906" w:h="16838"/>
      <w:pgMar w:top="1191" w:right="1243" w:bottom="1755" w:left="1405" w:header="0" w:footer="1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2603">
      <w:r>
        <w:separator/>
      </w:r>
    </w:p>
  </w:endnote>
  <w:endnote w:type="continuationSeparator" w:id="0">
    <w:p w:rsidR="00000000" w:rsidRDefault="0034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1"/>
    <w:family w:val="swiss"/>
    <w:pitch w:val="default"/>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Narrow">
    <w:panose1 w:val="020B0606020202030204"/>
    <w:charset w:val="00"/>
    <w:family w:val="swiss"/>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17" w:rsidRDefault="00342603">
    <w:pPr>
      <w:pStyle w:val="Piedepgina"/>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2603">
      <w:r>
        <w:separator/>
      </w:r>
    </w:p>
  </w:footnote>
  <w:footnote w:type="continuationSeparator" w:id="0">
    <w:p w:rsidR="00000000" w:rsidRDefault="00342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17"/>
    <w:rsid w:val="00342603"/>
    <w:rsid w:val="008A28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perez-solero garcia-carreño</dc:creator>
  <cp:lastModifiedBy>CRISTINA MORENO ENCABO</cp:lastModifiedBy>
  <cp:revision>2</cp:revision>
  <cp:lastPrinted>2023-04-20T20:34:00Z</cp:lastPrinted>
  <dcterms:created xsi:type="dcterms:W3CDTF">2023-04-25T07:20:00Z</dcterms:created>
  <dcterms:modified xsi:type="dcterms:W3CDTF">2023-04-25T07:20:00Z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