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b w:val="false"/>
          <w:b w:val="false"/>
          <w:bCs w:val="false"/>
        </w:rPr>
      </w:pPr>
      <w:r>
        <w:rPr>
          <w:b w:val="false"/>
          <w:bCs w:val="false"/>
        </w:rPr>
      </w:r>
    </w:p>
    <w:p>
      <w:pPr>
        <w:pStyle w:val="Normal"/>
        <w:spacing w:lineRule="auto" w:line="360"/>
        <w:jc w:val="both"/>
        <w:rPr>
          <w:b/>
          <w:b/>
          <w:bCs/>
        </w:rPr>
      </w:pPr>
      <w:r>
        <w:rPr>
          <w:rFonts w:ascii="Georgia" w:hAnsi="Georgia"/>
          <w:b/>
          <w:bCs/>
        </w:rPr>
        <w:t>MOCIÓN QUE PRESENTA PEDRO CONTRERAS FERNÁNDEZ, CONCEJAL DEL GRUPO MUNICIPAL SOCIALISTA, SOBRE REVISIÓN ÁRBOLES DE GRAN PORTE</w:t>
      </w:r>
    </w:p>
    <w:p>
      <w:pPr>
        <w:pStyle w:val="Normal"/>
        <w:spacing w:lineRule="auto" w:line="360"/>
        <w:jc w:val="both"/>
        <w:rPr>
          <w:rFonts w:ascii="Georgia" w:hAnsi="Georgia"/>
        </w:rPr>
      </w:pPr>
      <w:r>
        <w:rPr>
          <w:rFonts w:ascii="Georgia" w:hAnsi="Georgia"/>
        </w:rPr>
      </w:r>
    </w:p>
    <w:p>
      <w:pPr>
        <w:pStyle w:val="Normal"/>
        <w:spacing w:lineRule="auto" w:line="360"/>
        <w:jc w:val="center"/>
        <w:rPr>
          <w:b/>
          <w:b/>
          <w:bCs/>
        </w:rPr>
      </w:pPr>
      <w:r>
        <w:rPr>
          <w:b/>
          <w:bCs/>
        </w:rPr>
        <w:t>Exposición de Motivos</w:t>
      </w:r>
    </w:p>
    <w:p>
      <w:pPr>
        <w:pStyle w:val="Normal"/>
        <w:spacing w:lineRule="auto" w:line="360"/>
        <w:jc w:val="left"/>
        <w:rPr>
          <w:b w:val="false"/>
          <w:b w:val="false"/>
          <w:bCs w:val="false"/>
        </w:rPr>
      </w:pPr>
      <w:r>
        <w:rPr>
          <w:b w:val="false"/>
          <w:bCs w:val="false"/>
        </w:rPr>
      </w:r>
    </w:p>
    <w:p>
      <w:pPr>
        <w:pStyle w:val="Normal"/>
        <w:spacing w:lineRule="auto" w:line="360"/>
        <w:jc w:val="both"/>
        <w:rPr/>
      </w:pPr>
      <w:r>
        <w:rPr>
          <w:b w:val="false"/>
          <w:bCs w:val="false"/>
        </w:rPr>
        <w:t xml:space="preserve">La caída de ramas se ha convertido en una constante en nuestro municipio. </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Durante los meses de julio, agosto y septiembre se han producido varios incidentes en la Plaza San Francisco, en la barriada José María Lapuerta o en la nacional 301, por poner algún ejemplo, donde han caído ramas de árboles de gran porte con riesgo para peatones y conductores, ya que se han desplomado sobre aceras, carreteras y vehículos.</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Desde el grupo Municipal Socialista consideramos que es necesario potenciar las inspecciones y las medidas de control sobre los árboles del municipio, ya que Cartagena cuenta con ejemplares maduros y, en muchos casos, con un serio estado de degradación, como se ha demostrado en los últimos meses.</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 xml:space="preserve">El Pleno del Excmo. Ayuntamiento de Cartagena insta al Gobierno local </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 xml:space="preserve">Primero.- A que refuerce el Servicio de Evaluación y Revisión del Arbolado Municipal dependiente del Contrato de Parques y Jardines, dotándolo de personal suficiente y cualificado para inspeccionar, detectar y resolver las situaciones de riesgo. </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Segundo.- A que recurra a la tecnología necesaria para observar la evolución en determinadas épocas del año de los árboles de gran porte, preveyendo posibles roturas y caídas.</w:t>
      </w:r>
    </w:p>
    <w:p>
      <w:pPr>
        <w:pStyle w:val="Normal"/>
        <w:spacing w:lineRule="auto" w:line="360"/>
        <w:jc w:val="both"/>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b/>
          <w:bCs/>
        </w:rPr>
      </w:pPr>
      <w:r>
        <w:rPr>
          <w:b/>
          <w:bCs/>
        </w:rPr>
        <w:t>Cartagena, a 4 de octubre de 2023</w:t>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pPr>
      <w:r>
        <w:rPr>
          <w:b w:val="false"/>
          <w:bCs w:val="false"/>
        </w:rPr>
        <w:t xml:space="preserve">        </w:t>
      </w:r>
      <w:r>
        <w:rPr>
          <w:b w:val="false"/>
          <w:bCs w:val="false"/>
        </w:rPr>
        <w:t xml:space="preserve">Manuel Torres García </w:t>
        <w:tab/>
        <w:tab/>
        <w:t xml:space="preserve">                          Pedro Contreras Fernández</w:t>
      </w:r>
    </w:p>
    <w:p>
      <w:pPr>
        <w:pStyle w:val="Normal"/>
        <w:spacing w:lineRule="auto" w:line="360"/>
        <w:jc w:val="center"/>
        <w:rPr>
          <w:b/>
          <w:b/>
          <w:bCs/>
        </w:rPr>
      </w:pPr>
      <w:r>
        <w:rPr>
          <w:b w:val="false"/>
          <w:bCs w:val="false"/>
        </w:rPr>
        <w:t xml:space="preserve">Portavoz del Grupo Municipal Socialista                Concejal del Grupo Municipal Socialista </w:t>
      </w:r>
    </w:p>
    <w:sectPr>
      <w:headerReference w:type="default" r:id="rId2"/>
      <w:footerReference w:type="default" r:id="rId3"/>
      <w:type w:val="nextPage"/>
      <w:pgSz w:w="11906" w:h="16838"/>
      <w:pgMar w:left="1701" w:right="1268" w:header="708" w:top="3026" w:footer="1117" w:bottom="167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TotalTime>
  <Application>LibreOffice/7.1.2.2$Windows_X86_64 LibreOffice_project/8a45595d069ef5570103caea1b71cc9d82b2aae4</Application>
  <AppVersion>15.0000</AppVersion>
  <Pages>2</Pages>
  <Words>265</Words>
  <Characters>1536</Characters>
  <CharactersWithSpaces>1842</CharactersWithSpaces>
  <Paragraphs>14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2023-10-02T14:12:40Z</cp:lastPrinted>
  <dcterms:modified xsi:type="dcterms:W3CDTF">2023-10-04T13:15:45Z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