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985AA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85AA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02AEF">
        <w:rPr>
          <w:rFonts w:ascii="Arial" w:hAnsi="Arial" w:cs="Arial"/>
          <w:b/>
          <w:color w:val="auto"/>
          <w:sz w:val="24"/>
          <w:szCs w:val="24"/>
        </w:rPr>
        <w:t>SOBRE `</w:t>
      </w:r>
      <w:r w:rsidR="00985AA0">
        <w:rPr>
          <w:rFonts w:ascii="Arial" w:hAnsi="Arial" w:cs="Arial"/>
          <w:b/>
          <w:color w:val="auto"/>
          <w:sz w:val="24"/>
          <w:szCs w:val="24"/>
        </w:rPr>
        <w:t>CABEZO DE SAN GINÉS</w:t>
      </w:r>
      <w:r w:rsidR="00102AEF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2C36FF" w:rsidRDefault="002C36FF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985AA0" w:rsidRDefault="00985AA0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Recientemente, d</w:t>
      </w:r>
      <w:r w:rsidR="00190ECE">
        <w:rPr>
          <w:rFonts w:ascii="Arial" w:hAnsi="Arial" w:cs="Arial"/>
          <w:color w:val="auto"/>
          <w:sz w:val="24"/>
          <w:szCs w:val="24"/>
        </w:rPr>
        <w:t>esde la Asociación Cartaginense</w:t>
      </w:r>
      <w:r>
        <w:rPr>
          <w:rFonts w:ascii="Arial" w:hAnsi="Arial" w:cs="Arial"/>
          <w:color w:val="auto"/>
          <w:sz w:val="24"/>
          <w:szCs w:val="24"/>
        </w:rPr>
        <w:t xml:space="preserve"> hemos alertado a la</w:t>
      </w:r>
      <w:r w:rsidR="00FC05DD">
        <w:rPr>
          <w:rFonts w:ascii="Arial" w:hAnsi="Arial" w:cs="Arial"/>
          <w:color w:val="auto"/>
          <w:sz w:val="24"/>
          <w:szCs w:val="24"/>
        </w:rPr>
        <w:t>s</w:t>
      </w:r>
      <w:r>
        <w:rPr>
          <w:rFonts w:ascii="Arial" w:hAnsi="Arial" w:cs="Arial"/>
          <w:color w:val="auto"/>
          <w:sz w:val="24"/>
          <w:szCs w:val="24"/>
        </w:rPr>
        <w:t xml:space="preserve"> administraci</w:t>
      </w:r>
      <w:r w:rsidR="00FC05DD">
        <w:rPr>
          <w:rFonts w:ascii="Arial" w:hAnsi="Arial" w:cs="Arial"/>
          <w:color w:val="auto"/>
          <w:sz w:val="24"/>
          <w:szCs w:val="24"/>
        </w:rPr>
        <w:t>ones</w:t>
      </w:r>
      <w:r>
        <w:rPr>
          <w:rFonts w:ascii="Arial" w:hAnsi="Arial" w:cs="Arial"/>
          <w:color w:val="auto"/>
          <w:sz w:val="24"/>
          <w:szCs w:val="24"/>
        </w:rPr>
        <w:t xml:space="preserve"> regional y local de la existencia de dos pozos mineros sin brocal en el cabezo de San Ginés.</w:t>
      </w:r>
    </w:p>
    <w:p w:rsidR="00102AEF" w:rsidRDefault="00102AEF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450ECC" w:rsidRDefault="00985AA0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Dado que allí se</w:t>
      </w:r>
      <w:r w:rsidR="00450ECC">
        <w:rPr>
          <w:rFonts w:ascii="Arial" w:hAnsi="Arial" w:cs="Arial"/>
          <w:color w:val="auto"/>
          <w:sz w:val="24"/>
          <w:szCs w:val="24"/>
        </w:rPr>
        <w:t xml:space="preserve"> localiza</w:t>
      </w:r>
      <w:r>
        <w:rPr>
          <w:rFonts w:ascii="Arial" w:hAnsi="Arial" w:cs="Arial"/>
          <w:color w:val="auto"/>
          <w:sz w:val="24"/>
          <w:szCs w:val="24"/>
        </w:rPr>
        <w:t xml:space="preserve"> el abandonado </w:t>
      </w:r>
      <w:r w:rsidR="00450ECC">
        <w:rPr>
          <w:rFonts w:ascii="Arial" w:hAnsi="Arial" w:cs="Arial"/>
          <w:color w:val="auto"/>
          <w:sz w:val="24"/>
          <w:szCs w:val="24"/>
        </w:rPr>
        <w:t xml:space="preserve">BIC </w:t>
      </w:r>
      <w:r w:rsidR="00190ECE">
        <w:rPr>
          <w:rFonts w:ascii="Arial" w:hAnsi="Arial" w:cs="Arial"/>
          <w:color w:val="auto"/>
          <w:sz w:val="24"/>
          <w:szCs w:val="24"/>
        </w:rPr>
        <w:t>E</w:t>
      </w:r>
      <w:r>
        <w:rPr>
          <w:rFonts w:ascii="Arial" w:hAnsi="Arial" w:cs="Arial"/>
          <w:color w:val="auto"/>
          <w:sz w:val="24"/>
          <w:szCs w:val="24"/>
        </w:rPr>
        <w:t xml:space="preserve">remitorio del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Miral</w:t>
      </w:r>
      <w:proofErr w:type="spellEnd"/>
      <w:r>
        <w:rPr>
          <w:rFonts w:ascii="Arial" w:hAnsi="Arial" w:cs="Arial"/>
          <w:color w:val="auto"/>
          <w:sz w:val="24"/>
          <w:szCs w:val="24"/>
        </w:rPr>
        <w:t>, e</w:t>
      </w:r>
      <w:r w:rsidR="00450ECC">
        <w:rPr>
          <w:rFonts w:ascii="Arial" w:hAnsi="Arial" w:cs="Arial"/>
          <w:color w:val="auto"/>
          <w:sz w:val="24"/>
          <w:szCs w:val="24"/>
        </w:rPr>
        <w:t xml:space="preserve">l </w:t>
      </w:r>
      <w:r w:rsidR="00FC05DD">
        <w:rPr>
          <w:rFonts w:ascii="Arial" w:hAnsi="Arial" w:cs="Arial"/>
          <w:color w:val="auto"/>
          <w:sz w:val="24"/>
          <w:szCs w:val="24"/>
        </w:rPr>
        <w:t>monte</w:t>
      </w:r>
      <w:r w:rsidR="00450ECC">
        <w:rPr>
          <w:rFonts w:ascii="Arial" w:hAnsi="Arial" w:cs="Arial"/>
          <w:color w:val="auto"/>
          <w:sz w:val="24"/>
          <w:szCs w:val="24"/>
        </w:rPr>
        <w:t xml:space="preserve"> es continuamente visitado por asociaciones, ciudadanos interesados por el patrimonio histórico y senderistas que disfrutan de los espectaculares paisajes que se ven desde </w:t>
      </w:r>
      <w:r w:rsidR="00FC05DD">
        <w:rPr>
          <w:rFonts w:ascii="Arial" w:hAnsi="Arial" w:cs="Arial"/>
          <w:color w:val="auto"/>
          <w:sz w:val="24"/>
          <w:szCs w:val="24"/>
        </w:rPr>
        <w:t>su</w:t>
      </w:r>
      <w:r w:rsidR="00450ECC">
        <w:rPr>
          <w:rFonts w:ascii="Arial" w:hAnsi="Arial" w:cs="Arial"/>
          <w:color w:val="auto"/>
          <w:sz w:val="24"/>
          <w:szCs w:val="24"/>
        </w:rPr>
        <w:t xml:space="preserve"> cima.</w:t>
      </w:r>
    </w:p>
    <w:p w:rsidR="00102AEF" w:rsidRDefault="00102AEF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985AA0" w:rsidRDefault="00985AA0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Las sendas originales</w:t>
      </w:r>
      <w:r w:rsidR="00450ECC">
        <w:rPr>
          <w:rFonts w:ascii="Arial" w:hAnsi="Arial" w:cs="Arial"/>
          <w:color w:val="auto"/>
          <w:sz w:val="24"/>
          <w:szCs w:val="24"/>
        </w:rPr>
        <w:t xml:space="preserve">, que partían del desaparecido caserío hacia la </w:t>
      </w:r>
      <w:r w:rsidR="00FC05DD">
        <w:rPr>
          <w:rFonts w:ascii="Arial" w:hAnsi="Arial" w:cs="Arial"/>
          <w:color w:val="auto"/>
          <w:sz w:val="24"/>
          <w:szCs w:val="24"/>
        </w:rPr>
        <w:t xml:space="preserve">parte más alta </w:t>
      </w:r>
      <w:r w:rsidR="00190ECE">
        <w:rPr>
          <w:rFonts w:ascii="Arial" w:hAnsi="Arial" w:cs="Arial"/>
          <w:color w:val="auto"/>
          <w:sz w:val="24"/>
          <w:szCs w:val="24"/>
        </w:rPr>
        <w:t>del c</w:t>
      </w:r>
      <w:r w:rsidR="00450ECC">
        <w:rPr>
          <w:rFonts w:ascii="Arial" w:hAnsi="Arial" w:cs="Arial"/>
          <w:color w:val="auto"/>
          <w:sz w:val="24"/>
          <w:szCs w:val="24"/>
        </w:rPr>
        <w:t>abezo</w:t>
      </w:r>
      <w:r w:rsidR="00FC05DD">
        <w:rPr>
          <w:rFonts w:ascii="Arial" w:hAnsi="Arial" w:cs="Arial"/>
          <w:color w:val="auto"/>
          <w:sz w:val="24"/>
          <w:szCs w:val="24"/>
        </w:rPr>
        <w:t xml:space="preserve"> dónde se encuentra la ermita cuatro, que a día de hoy luce desmochada, </w:t>
      </w:r>
      <w:r w:rsidR="00450ECC">
        <w:rPr>
          <w:rFonts w:ascii="Arial" w:hAnsi="Arial" w:cs="Arial"/>
          <w:color w:val="auto"/>
          <w:sz w:val="24"/>
          <w:szCs w:val="24"/>
        </w:rPr>
        <w:t>aún pueden ser transitadas</w:t>
      </w:r>
      <w:r w:rsidR="00FC05DD">
        <w:rPr>
          <w:rFonts w:ascii="Arial" w:hAnsi="Arial" w:cs="Arial"/>
          <w:color w:val="auto"/>
          <w:sz w:val="24"/>
          <w:szCs w:val="24"/>
        </w:rPr>
        <w:t>. Su mal estado debido a las escorrentías y falta de mantenimiento por el desuso nos ha animado a realizar un trabajo de documentación de las mismas para solicitar la recuperación de estas antiguas sendas mineras a la Dirección General de Medio Ambiente que faciliten el tránsito de pequeños grupos en fila de a uno cumpliéndose con lo determinado en el artículo 8.1.c) de la Ley 4/2007, 16 de marz</w:t>
      </w:r>
      <w:r w:rsidR="00102AEF">
        <w:rPr>
          <w:rFonts w:ascii="Arial" w:hAnsi="Arial" w:cs="Arial"/>
          <w:color w:val="auto"/>
          <w:sz w:val="24"/>
          <w:szCs w:val="24"/>
        </w:rPr>
        <w:t xml:space="preserve">o en condiciones de seguridad. </w:t>
      </w:r>
      <w:r w:rsidR="00FC05DD">
        <w:rPr>
          <w:rFonts w:ascii="Arial" w:hAnsi="Arial" w:cs="Arial"/>
          <w:color w:val="auto"/>
          <w:sz w:val="24"/>
          <w:szCs w:val="24"/>
        </w:rPr>
        <w:t>Dado que la alerta por estos dos pozos sin brocal nos lleva a pensar que pudiera haber más en la zona y el peligro evidente que eso supone.</w:t>
      </w:r>
      <w:r w:rsidR="00134E56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34E56" w:rsidRDefault="00134E56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Pr="004E1F8B" w:rsidRDefault="004E1F8B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1F8B">
        <w:rPr>
          <w:rFonts w:ascii="Arial" w:hAnsi="Arial" w:cs="Arial"/>
          <w:color w:val="auto"/>
          <w:sz w:val="24"/>
          <w:szCs w:val="24"/>
        </w:rPr>
        <w:t>Por lo anteriormente expuesto</w:t>
      </w:r>
      <w:r w:rsidR="00290D1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gramStart"/>
      <w:r w:rsidRPr="004E1F8B">
        <w:rPr>
          <w:rFonts w:ascii="Arial" w:hAnsi="Arial" w:cs="Arial"/>
          <w:color w:val="auto"/>
          <w:sz w:val="24"/>
          <w:szCs w:val="24"/>
        </w:rPr>
        <w:t>la</w:t>
      </w:r>
      <w:proofErr w:type="gramEnd"/>
      <w:r w:rsidRPr="004E1F8B">
        <w:rPr>
          <w:rFonts w:ascii="Arial" w:hAnsi="Arial" w:cs="Arial"/>
          <w:color w:val="auto"/>
          <w:sz w:val="24"/>
          <w:szCs w:val="24"/>
        </w:rPr>
        <w:t xml:space="preserve"> </w:t>
      </w:r>
      <w:r w:rsidR="00102AEF">
        <w:rPr>
          <w:rFonts w:ascii="Arial" w:hAnsi="Arial" w:cs="Arial"/>
          <w:color w:val="auto"/>
          <w:sz w:val="24"/>
          <w:szCs w:val="24"/>
        </w:rPr>
        <w:t>concejal que suscribe eleva al P</w:t>
      </w:r>
      <w:r w:rsidRPr="004E1F8B">
        <w:rPr>
          <w:rFonts w:ascii="Arial" w:hAnsi="Arial" w:cs="Arial"/>
          <w:color w:val="auto"/>
          <w:sz w:val="24"/>
          <w:szCs w:val="24"/>
        </w:rPr>
        <w:t>leno la siguiente</w:t>
      </w:r>
    </w:p>
    <w:p w:rsidR="00DD3B60" w:rsidRPr="004E1F8B" w:rsidRDefault="00DD3B60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Pr="004E1F8B" w:rsidRDefault="00B63E67" w:rsidP="00102AEF">
      <w:pPr>
        <w:ind w:left="3528" w:firstLine="12"/>
        <w:jc w:val="both"/>
        <w:rPr>
          <w:rFonts w:ascii="Arial" w:hAnsi="Arial" w:cs="Arial"/>
          <w:b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MOCIÓN</w:t>
      </w:r>
    </w:p>
    <w:p w:rsidR="00F04AF5" w:rsidRPr="00102AEF" w:rsidRDefault="00102AEF" w:rsidP="00FC05DD">
      <w:pPr>
        <w:spacing w:after="0" w:line="240" w:lineRule="auto"/>
        <w:jc w:val="both"/>
        <w:textAlignment w:val="bott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Pleno municipal inste al G</w:t>
      </w:r>
      <w:r w:rsidR="00DD3B60" w:rsidRPr="00102AEF">
        <w:rPr>
          <w:rFonts w:ascii="Arial" w:hAnsi="Arial" w:cs="Arial"/>
          <w:sz w:val="24"/>
          <w:szCs w:val="24"/>
        </w:rPr>
        <w:t xml:space="preserve">obierno local a </w:t>
      </w:r>
      <w:r w:rsidR="004E1F8B" w:rsidRPr="00102AEF">
        <w:rPr>
          <w:rFonts w:ascii="Arial" w:hAnsi="Arial" w:cs="Arial"/>
          <w:sz w:val="24"/>
          <w:szCs w:val="24"/>
        </w:rPr>
        <w:t>q</w:t>
      </w:r>
      <w:r w:rsidR="004E1F8B" w:rsidRPr="00102AEF">
        <w:rPr>
          <w:rFonts w:ascii="Arial" w:eastAsia="Times New Roman" w:hAnsi="Arial" w:cs="Arial"/>
          <w:sz w:val="24"/>
          <w:szCs w:val="24"/>
          <w:lang w:eastAsia="es-ES"/>
        </w:rPr>
        <w:t>ue</w:t>
      </w:r>
      <w:r w:rsidR="00190ECE">
        <w:rPr>
          <w:rFonts w:ascii="Arial" w:eastAsia="Times New Roman" w:hAnsi="Arial" w:cs="Arial"/>
          <w:sz w:val="24"/>
          <w:szCs w:val="24"/>
          <w:lang w:eastAsia="es-ES"/>
        </w:rPr>
        <w:t>, por sí</w:t>
      </w:r>
      <w:r w:rsidR="00FC05DD" w:rsidRPr="00102AEF">
        <w:rPr>
          <w:rFonts w:ascii="Arial" w:eastAsia="Times New Roman" w:hAnsi="Arial" w:cs="Arial"/>
          <w:sz w:val="24"/>
          <w:szCs w:val="24"/>
          <w:lang w:eastAsia="es-ES"/>
        </w:rPr>
        <w:t xml:space="preserve"> mismo o reclamando una intervención inmediata por par</w:t>
      </w:r>
      <w:r w:rsidR="00190ECE">
        <w:rPr>
          <w:rFonts w:ascii="Arial" w:eastAsia="Times New Roman" w:hAnsi="Arial" w:cs="Arial"/>
          <w:sz w:val="24"/>
          <w:szCs w:val="24"/>
          <w:lang w:eastAsia="es-ES"/>
        </w:rPr>
        <w:t>te de la propietaria del cabezo</w:t>
      </w:r>
      <w:r w:rsidR="00FC05DD" w:rsidRPr="00102AEF">
        <w:rPr>
          <w:rFonts w:ascii="Arial" w:eastAsia="Times New Roman" w:hAnsi="Arial" w:cs="Arial"/>
          <w:sz w:val="24"/>
          <w:szCs w:val="24"/>
          <w:lang w:eastAsia="es-ES"/>
        </w:rPr>
        <w:t xml:space="preserve"> instale señalética suficiente que alerte del peligro que supone la posibilidad de que existan más pozos mineros sin brocal en el Monte </w:t>
      </w:r>
      <w:proofErr w:type="spellStart"/>
      <w:r w:rsidR="00FC05DD" w:rsidRPr="00102AEF">
        <w:rPr>
          <w:rFonts w:ascii="Arial" w:eastAsia="Times New Roman" w:hAnsi="Arial" w:cs="Arial"/>
          <w:sz w:val="24"/>
          <w:szCs w:val="24"/>
          <w:lang w:eastAsia="es-ES"/>
        </w:rPr>
        <w:t>Miral</w:t>
      </w:r>
      <w:proofErr w:type="spellEnd"/>
      <w:r w:rsidR="00FC05DD" w:rsidRPr="00102AEF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F04AF5" w:rsidRPr="00102AEF">
        <w:rPr>
          <w:rFonts w:ascii="Arial" w:hAnsi="Arial" w:cs="Arial"/>
          <w:sz w:val="24"/>
          <w:szCs w:val="24"/>
        </w:rPr>
        <w:t xml:space="preserve"> </w:t>
      </w:r>
    </w:p>
    <w:p w:rsidR="00B63E67" w:rsidRPr="004E1F8B" w:rsidRDefault="00B63E67" w:rsidP="00B63E67">
      <w:pPr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455DBC">
      <w:pPr>
        <w:jc w:val="both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</w:p>
    <w:p w:rsidR="00A51A5D" w:rsidRPr="004E1F8B" w:rsidRDefault="002B77C2" w:rsidP="00102AEF">
      <w:pPr>
        <w:jc w:val="center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Cartagena</w:t>
      </w:r>
      <w:r w:rsidR="00102AEF">
        <w:rPr>
          <w:rFonts w:ascii="Arial" w:hAnsi="Arial" w:cs="Arial"/>
          <w:sz w:val="24"/>
          <w:szCs w:val="24"/>
        </w:rPr>
        <w:t>,</w:t>
      </w:r>
      <w:r w:rsidRPr="004E1F8B">
        <w:rPr>
          <w:rFonts w:ascii="Arial" w:hAnsi="Arial" w:cs="Arial"/>
          <w:sz w:val="24"/>
          <w:szCs w:val="24"/>
        </w:rPr>
        <w:t xml:space="preserve"> a</w:t>
      </w:r>
      <w:r w:rsidR="00102AEF">
        <w:rPr>
          <w:rFonts w:ascii="Arial" w:hAnsi="Arial" w:cs="Arial"/>
          <w:sz w:val="24"/>
          <w:szCs w:val="24"/>
        </w:rPr>
        <w:t xml:space="preserve"> 23 </w:t>
      </w:r>
      <w:r w:rsidR="00DA6B13" w:rsidRPr="004E1F8B">
        <w:rPr>
          <w:rFonts w:ascii="Arial" w:hAnsi="Arial" w:cs="Arial"/>
          <w:sz w:val="24"/>
          <w:szCs w:val="24"/>
        </w:rPr>
        <w:t xml:space="preserve">de </w:t>
      </w:r>
      <w:r w:rsidR="002C36FF">
        <w:rPr>
          <w:rFonts w:ascii="Arial" w:hAnsi="Arial" w:cs="Arial"/>
          <w:sz w:val="24"/>
          <w:szCs w:val="24"/>
        </w:rPr>
        <w:t>enero de</w:t>
      </w:r>
      <w:r w:rsidR="00E04FC2" w:rsidRPr="004E1F8B">
        <w:rPr>
          <w:rFonts w:ascii="Arial" w:hAnsi="Arial" w:cs="Arial"/>
          <w:sz w:val="24"/>
          <w:szCs w:val="24"/>
        </w:rPr>
        <w:t xml:space="preserve"> 202</w:t>
      </w:r>
      <w:r w:rsidR="002C36FF">
        <w:rPr>
          <w:rFonts w:ascii="Arial" w:hAnsi="Arial" w:cs="Arial"/>
          <w:sz w:val="24"/>
          <w:szCs w:val="24"/>
        </w:rPr>
        <w:t>4</w:t>
      </w:r>
      <w:r w:rsidR="00102AEF">
        <w:rPr>
          <w:rFonts w:ascii="Arial" w:hAnsi="Arial" w:cs="Arial"/>
          <w:sz w:val="24"/>
          <w:szCs w:val="24"/>
        </w:rPr>
        <w:t>.</w:t>
      </w:r>
    </w:p>
    <w:p w:rsidR="00B46D01" w:rsidRPr="004E1F8B" w:rsidRDefault="00B46D01" w:rsidP="00455DBC">
      <w:pPr>
        <w:jc w:val="both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190ECE" w:rsidRDefault="00190ECE" w:rsidP="00B46D01">
      <w:pPr>
        <w:ind w:right="-568"/>
        <w:rPr>
          <w:rFonts w:ascii="Arial" w:hAnsi="Arial" w:cs="Arial"/>
          <w:sz w:val="24"/>
          <w:szCs w:val="24"/>
        </w:rPr>
      </w:pPr>
    </w:p>
    <w:p w:rsidR="00190ECE" w:rsidRPr="004E1F8B" w:rsidRDefault="00190ECE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Fdo.</w:t>
      </w:r>
      <w:r w:rsidR="00DA6B13" w:rsidRPr="004E1F8B">
        <w:rPr>
          <w:rFonts w:ascii="Arial" w:hAnsi="Arial" w:cs="Arial"/>
          <w:sz w:val="24"/>
          <w:szCs w:val="24"/>
        </w:rPr>
        <w:t xml:space="preserve"> Jesús Giménez Gallo</w:t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="00190ECE">
        <w:rPr>
          <w:rFonts w:ascii="Arial" w:hAnsi="Arial" w:cs="Arial"/>
          <w:sz w:val="24"/>
          <w:szCs w:val="24"/>
        </w:rPr>
        <w:t xml:space="preserve">     </w:t>
      </w:r>
      <w:r w:rsidRPr="004E1F8B">
        <w:rPr>
          <w:rFonts w:ascii="Arial" w:hAnsi="Arial" w:cs="Arial"/>
          <w:sz w:val="24"/>
          <w:szCs w:val="24"/>
        </w:rPr>
        <w:t>Fdo. María Dolores Ruiz Álvarez</w:t>
      </w:r>
    </w:p>
    <w:p w:rsidR="00B46D01" w:rsidRPr="004E1F8B" w:rsidRDefault="00190ECE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B46D01" w:rsidRPr="004E1F8B">
        <w:rPr>
          <w:rFonts w:ascii="Arial" w:hAnsi="Arial" w:cs="Arial"/>
          <w:sz w:val="24"/>
          <w:szCs w:val="24"/>
        </w:rPr>
        <w:t xml:space="preserve">unicipal MC                     </w:t>
      </w:r>
      <w:r w:rsidR="00102AEF">
        <w:rPr>
          <w:rFonts w:ascii="Arial" w:hAnsi="Arial" w:cs="Arial"/>
          <w:sz w:val="24"/>
          <w:szCs w:val="24"/>
        </w:rPr>
        <w:t xml:space="preserve">   </w:t>
      </w:r>
      <w:r w:rsidR="00B46D01" w:rsidRPr="004E1F8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Concejal Grupo m</w:t>
      </w:r>
      <w:r w:rsidR="00B46D01" w:rsidRPr="004E1F8B">
        <w:rPr>
          <w:rFonts w:ascii="Arial" w:hAnsi="Arial" w:cs="Arial"/>
          <w:sz w:val="24"/>
          <w:szCs w:val="24"/>
        </w:rPr>
        <w:t>unicipal MC</w:t>
      </w: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102AEF">
      <w:pPr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1E6DB9" w:rsidRPr="004E1F8B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4E1F8B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4E1F8B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43A53"/>
    <w:multiLevelType w:val="hybridMultilevel"/>
    <w:tmpl w:val="6E227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02AEF"/>
    <w:rsid w:val="00112423"/>
    <w:rsid w:val="001345B2"/>
    <w:rsid w:val="00134E56"/>
    <w:rsid w:val="00190ECE"/>
    <w:rsid w:val="00196A18"/>
    <w:rsid w:val="001A7070"/>
    <w:rsid w:val="001B10B2"/>
    <w:rsid w:val="001E6DB9"/>
    <w:rsid w:val="001F2ECA"/>
    <w:rsid w:val="002105FB"/>
    <w:rsid w:val="002108A7"/>
    <w:rsid w:val="00213A71"/>
    <w:rsid w:val="00260FC1"/>
    <w:rsid w:val="00290D10"/>
    <w:rsid w:val="002B77C2"/>
    <w:rsid w:val="002C36FF"/>
    <w:rsid w:val="002D37C8"/>
    <w:rsid w:val="002F3E0E"/>
    <w:rsid w:val="003203C4"/>
    <w:rsid w:val="003637C1"/>
    <w:rsid w:val="003716B2"/>
    <w:rsid w:val="00386471"/>
    <w:rsid w:val="00387843"/>
    <w:rsid w:val="003C12F4"/>
    <w:rsid w:val="003C65BD"/>
    <w:rsid w:val="003D093A"/>
    <w:rsid w:val="004279AE"/>
    <w:rsid w:val="00447BC4"/>
    <w:rsid w:val="00450ECC"/>
    <w:rsid w:val="00455DBC"/>
    <w:rsid w:val="004825BD"/>
    <w:rsid w:val="004B6375"/>
    <w:rsid w:val="004C451E"/>
    <w:rsid w:val="004E1F8B"/>
    <w:rsid w:val="00547A21"/>
    <w:rsid w:val="00576529"/>
    <w:rsid w:val="0058129B"/>
    <w:rsid w:val="0059673D"/>
    <w:rsid w:val="005C34F2"/>
    <w:rsid w:val="00612C1A"/>
    <w:rsid w:val="00647AB1"/>
    <w:rsid w:val="006666A2"/>
    <w:rsid w:val="00681B70"/>
    <w:rsid w:val="006851B9"/>
    <w:rsid w:val="00690DE7"/>
    <w:rsid w:val="00700F6C"/>
    <w:rsid w:val="00716B6A"/>
    <w:rsid w:val="00726AE8"/>
    <w:rsid w:val="007863FE"/>
    <w:rsid w:val="00791C5A"/>
    <w:rsid w:val="00792DF4"/>
    <w:rsid w:val="0079415A"/>
    <w:rsid w:val="00794A0E"/>
    <w:rsid w:val="007D6D30"/>
    <w:rsid w:val="007F5EA0"/>
    <w:rsid w:val="00806912"/>
    <w:rsid w:val="00806D86"/>
    <w:rsid w:val="00812ED3"/>
    <w:rsid w:val="008551BD"/>
    <w:rsid w:val="00874031"/>
    <w:rsid w:val="00885213"/>
    <w:rsid w:val="008965D7"/>
    <w:rsid w:val="008C22B1"/>
    <w:rsid w:val="00921AE4"/>
    <w:rsid w:val="009253EA"/>
    <w:rsid w:val="009275B7"/>
    <w:rsid w:val="00971155"/>
    <w:rsid w:val="00971FC2"/>
    <w:rsid w:val="00985AA0"/>
    <w:rsid w:val="009955D5"/>
    <w:rsid w:val="009B6FFF"/>
    <w:rsid w:val="00A02032"/>
    <w:rsid w:val="00A049F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7C43"/>
    <w:rsid w:val="00C51A89"/>
    <w:rsid w:val="00CA75DF"/>
    <w:rsid w:val="00CE53A3"/>
    <w:rsid w:val="00D26357"/>
    <w:rsid w:val="00D30FD3"/>
    <w:rsid w:val="00D72CF0"/>
    <w:rsid w:val="00DA6B13"/>
    <w:rsid w:val="00DB1B3A"/>
    <w:rsid w:val="00DD3B60"/>
    <w:rsid w:val="00E04252"/>
    <w:rsid w:val="00E04FC2"/>
    <w:rsid w:val="00E107CE"/>
    <w:rsid w:val="00E347E5"/>
    <w:rsid w:val="00E5293D"/>
    <w:rsid w:val="00E73801"/>
    <w:rsid w:val="00EB44EA"/>
    <w:rsid w:val="00EC730F"/>
    <w:rsid w:val="00EE390C"/>
    <w:rsid w:val="00F04AF5"/>
    <w:rsid w:val="00F37341"/>
    <w:rsid w:val="00F91362"/>
    <w:rsid w:val="00FC05DD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5</cp:revision>
  <dcterms:created xsi:type="dcterms:W3CDTF">2024-01-10T12:44:00Z</dcterms:created>
  <dcterms:modified xsi:type="dcterms:W3CDTF">2024-01-23T09:52:00Z</dcterms:modified>
</cp:coreProperties>
</file>